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F646" w14:textId="77777777" w:rsidR="00695BE5" w:rsidRDefault="00695BE5" w:rsidP="00C0049C">
      <w:pPr>
        <w:pStyle w:val="Titel"/>
        <w:tabs>
          <w:tab w:val="clear" w:pos="2552"/>
        </w:tabs>
        <w:rPr>
          <w:b/>
        </w:rPr>
      </w:pPr>
      <w:r>
        <w:rPr>
          <w:b/>
        </w:rPr>
        <w:t xml:space="preserve">Qualitätssicherungsvereinbarung mit </w:t>
      </w:r>
      <w:r w:rsidR="00840B73">
        <w:rPr>
          <w:b/>
        </w:rPr>
        <w:t>Software</w:t>
      </w:r>
      <w:r w:rsidR="00E711EA">
        <w:rPr>
          <w:b/>
        </w:rPr>
        <w:t>l</w:t>
      </w:r>
      <w:r>
        <w:rPr>
          <w:b/>
        </w:rPr>
        <w:t>ieferanten</w:t>
      </w:r>
    </w:p>
    <w:p w14:paraId="20C2F647" w14:textId="77777777" w:rsidR="00695BE5" w:rsidRDefault="00695BE5" w:rsidP="008D6574">
      <w:pPr>
        <w:pStyle w:val="StandardZentriert"/>
        <w:jc w:val="left"/>
      </w:pPr>
    </w:p>
    <w:p w14:paraId="20C2F648" w14:textId="5BA4B67A" w:rsidR="00796AB2" w:rsidRPr="00796AB2" w:rsidRDefault="009B0729" w:rsidP="00796AB2">
      <w:pPr>
        <w:pStyle w:val="Titel"/>
        <w:tabs>
          <w:tab w:val="clear" w:pos="2552"/>
        </w:tabs>
        <w:rPr>
          <w:b/>
          <w:sz w:val="24"/>
        </w:rPr>
      </w:pPr>
      <w:r>
        <w:rPr>
          <w:b/>
          <w:noProof/>
          <w:sz w:val="24"/>
        </w:rPr>
        <w:pict w14:anchorId="20C2F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chaeffler_35" o:spid="_x0000_s1028" type="#_x0000_t75" style="position:absolute;margin-left:440.9pt;margin-top:35.65pt;width:99.65pt;height:10.9pt;z-index:1;visibility:visible;mso-position-horizontal-relative:page;mso-position-vertical-relative:page">
            <v:imagedata r:id="rId12" o:title="Schaeffler_35mm"/>
            <w10:wrap anchorx="page" anchory="page"/>
          </v:shape>
        </w:pict>
      </w:r>
      <w:r w:rsidR="00796AB2" w:rsidRPr="00796AB2">
        <w:rPr>
          <w:b/>
          <w:sz w:val="24"/>
        </w:rPr>
        <w:t xml:space="preserve">Anlage 1: </w:t>
      </w:r>
      <w:r w:rsidR="00F35C56" w:rsidRPr="00F35C56">
        <w:rPr>
          <w:b/>
          <w:sz w:val="24"/>
        </w:rPr>
        <w:t>Durchführung und Bewertung Prozessassessment</w:t>
      </w:r>
    </w:p>
    <w:p w14:paraId="20C2F649" w14:textId="77777777" w:rsidR="000D63B8" w:rsidRDefault="000D63B8" w:rsidP="000D63B8">
      <w:pPr>
        <w:pStyle w:val="berschrift1"/>
        <w:tabs>
          <w:tab w:val="clear" w:pos="360"/>
          <w:tab w:val="left" w:pos="540"/>
        </w:tabs>
        <w:spacing w:after="0"/>
      </w:pPr>
      <w:bookmarkStart w:id="0" w:name="_Toc213213481"/>
      <w:bookmarkEnd w:id="0"/>
      <w:r>
        <w:t>Zweck</w:t>
      </w:r>
    </w:p>
    <w:p w14:paraId="20C2F64A" w14:textId="77777777" w:rsidR="00F35C56" w:rsidRDefault="009F0356" w:rsidP="000D63B8">
      <w:pPr>
        <w:pStyle w:val="StandardBlock"/>
      </w:pPr>
      <w:r>
        <w:t xml:space="preserve">Diese Anlage zur </w:t>
      </w:r>
      <w:r w:rsidRPr="009F0356">
        <w:rPr>
          <w:i/>
        </w:rPr>
        <w:t>Qualitätssicherungsvereinbarung mit Softwarelieferanten</w:t>
      </w:r>
      <w:r>
        <w:t xml:space="preserve"> </w:t>
      </w:r>
      <w:r w:rsidR="00211D7C">
        <w:t>beschreibt</w:t>
      </w:r>
      <w:r>
        <w:t xml:space="preserve"> die Durchführung eines Prozessassessments </w:t>
      </w:r>
      <w:r w:rsidR="00472A47">
        <w:t xml:space="preserve">inkl. Prozessbewertung und der </w:t>
      </w:r>
      <w:r>
        <w:t>sich daraus ergebende</w:t>
      </w:r>
      <w:r w:rsidR="00472A47">
        <w:t>n</w:t>
      </w:r>
      <w:r>
        <w:t xml:space="preserve"> Lieferanten</w:t>
      </w:r>
      <w:r w:rsidR="00211D7C">
        <w:t>einstufung</w:t>
      </w:r>
      <w:r>
        <w:t>.</w:t>
      </w:r>
    </w:p>
    <w:p w14:paraId="20C2F64B" w14:textId="77777777" w:rsidR="0069556F" w:rsidRPr="0069556F" w:rsidRDefault="0069556F" w:rsidP="0069556F">
      <w:pPr>
        <w:pStyle w:val="berschrift1"/>
      </w:pPr>
      <w:r w:rsidRPr="0069556F">
        <w:t>Bewertung</w:t>
      </w:r>
    </w:p>
    <w:p w14:paraId="20C2F64C" w14:textId="77777777" w:rsidR="006C17B8" w:rsidRDefault="00F35C56" w:rsidP="00F35C56">
      <w:pPr>
        <w:pStyle w:val="StandardBlock"/>
      </w:pPr>
      <w:r w:rsidRPr="0069556F">
        <w:t xml:space="preserve">Die Ermittlung des Reifegrades eines einzelnen Prozesses erfolgt durch die Bewertung der Prozessattribute (PAs), die wiederum auf die Bewertung der Basispraktiken und der Generischen Praktiken zurückzuführen ist. Diese Bewertung </w:t>
      </w:r>
      <w:r w:rsidR="006C17B8" w:rsidRPr="0069556F">
        <w:t xml:space="preserve">der Basispraktiken und der Generischen Praktiken </w:t>
      </w:r>
      <w:r w:rsidRPr="0069556F">
        <w:t>erfolgt jeweils anhand eines Wertes der folgenden Tabelle:</w:t>
      </w:r>
    </w:p>
    <w:p w14:paraId="20C2F64D" w14:textId="77777777" w:rsidR="006F265B" w:rsidRPr="0069556F" w:rsidRDefault="006F265B" w:rsidP="00F35C56">
      <w:pPr>
        <w:pStyle w:val="StandardBloc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6664"/>
      </w:tblGrid>
      <w:tr w:rsidR="00F35C56" w:rsidRPr="0069556F" w14:paraId="20C2F651" w14:textId="77777777" w:rsidTr="004D5C67">
        <w:tc>
          <w:tcPr>
            <w:tcW w:w="1276" w:type="dxa"/>
            <w:shd w:val="clear" w:color="auto" w:fill="BFBFBF"/>
          </w:tcPr>
          <w:p w14:paraId="20C2F64E" w14:textId="77777777" w:rsidR="00F35C56" w:rsidRPr="0069556F" w:rsidRDefault="00F35C56" w:rsidP="00480831">
            <w:pPr>
              <w:pStyle w:val="StandardBlock"/>
            </w:pPr>
            <w:r w:rsidRPr="0069556F">
              <w:t xml:space="preserve">Einstufung </w:t>
            </w:r>
          </w:p>
        </w:tc>
        <w:tc>
          <w:tcPr>
            <w:tcW w:w="1701" w:type="dxa"/>
            <w:shd w:val="clear" w:color="auto" w:fill="BFBFBF"/>
          </w:tcPr>
          <w:p w14:paraId="20C2F64F" w14:textId="77777777" w:rsidR="00F35C56" w:rsidRPr="0069556F" w:rsidRDefault="00F35C56" w:rsidP="00480831">
            <w:pPr>
              <w:pStyle w:val="StandardBlock"/>
            </w:pPr>
            <w:r w:rsidRPr="0069556F">
              <w:t xml:space="preserve">Erfüllungsgrad </w:t>
            </w:r>
          </w:p>
        </w:tc>
        <w:tc>
          <w:tcPr>
            <w:tcW w:w="6664" w:type="dxa"/>
            <w:shd w:val="clear" w:color="auto" w:fill="BFBFBF"/>
          </w:tcPr>
          <w:p w14:paraId="20C2F650" w14:textId="77777777" w:rsidR="00F35C56" w:rsidRPr="0069556F" w:rsidRDefault="00F35C56" w:rsidP="00480831">
            <w:pPr>
              <w:pStyle w:val="StandardBlock"/>
            </w:pPr>
            <w:r w:rsidRPr="0069556F">
              <w:t>Bewertung der Erfüllung von Forderungen</w:t>
            </w:r>
          </w:p>
        </w:tc>
      </w:tr>
      <w:tr w:rsidR="00F35C56" w:rsidRPr="0069556F" w14:paraId="20C2F655" w14:textId="77777777" w:rsidTr="00480831">
        <w:tc>
          <w:tcPr>
            <w:tcW w:w="1276" w:type="dxa"/>
          </w:tcPr>
          <w:p w14:paraId="20C2F652" w14:textId="77777777" w:rsidR="00F35C56" w:rsidRPr="0069556F" w:rsidRDefault="00F35C56" w:rsidP="00480831">
            <w:pPr>
              <w:pStyle w:val="StandardBlock"/>
            </w:pPr>
            <w:r w:rsidRPr="0069556F">
              <w:t>F</w:t>
            </w:r>
          </w:p>
        </w:tc>
        <w:tc>
          <w:tcPr>
            <w:tcW w:w="1701" w:type="dxa"/>
          </w:tcPr>
          <w:p w14:paraId="20C2F653" w14:textId="77777777" w:rsidR="00F35C56" w:rsidRPr="0069556F" w:rsidRDefault="00F35C56" w:rsidP="00480831">
            <w:pPr>
              <w:pStyle w:val="StandardBlock"/>
            </w:pPr>
            <w:r w:rsidRPr="0069556F">
              <w:t>86</w:t>
            </w:r>
            <w:r w:rsidR="00727781">
              <w:t xml:space="preserve"> </w:t>
            </w:r>
            <w:r w:rsidRPr="0069556F">
              <w:t>% - 100</w:t>
            </w:r>
            <w:r w:rsidR="00727781">
              <w:t xml:space="preserve"> </w:t>
            </w:r>
            <w:r w:rsidRPr="0069556F">
              <w:t>%</w:t>
            </w:r>
          </w:p>
        </w:tc>
        <w:tc>
          <w:tcPr>
            <w:tcW w:w="6664" w:type="dxa"/>
          </w:tcPr>
          <w:p w14:paraId="20C2F654" w14:textId="77777777" w:rsidR="00F35C56" w:rsidRPr="0069556F" w:rsidRDefault="00F35C56" w:rsidP="00480831">
            <w:pPr>
              <w:pStyle w:val="StandardBlock"/>
            </w:pPr>
            <w:r w:rsidRPr="0069556F">
              <w:t>Forderungen voll erfüllt; geringfügige Abweichungen</w:t>
            </w:r>
          </w:p>
        </w:tc>
      </w:tr>
      <w:tr w:rsidR="00F35C56" w:rsidRPr="0069556F" w14:paraId="20C2F659" w14:textId="77777777" w:rsidTr="00480831">
        <w:tc>
          <w:tcPr>
            <w:tcW w:w="1276" w:type="dxa"/>
          </w:tcPr>
          <w:p w14:paraId="20C2F656" w14:textId="77777777" w:rsidR="00F35C56" w:rsidRPr="0069556F" w:rsidRDefault="00F35C56" w:rsidP="00480831">
            <w:pPr>
              <w:pStyle w:val="StandardBlock"/>
            </w:pPr>
            <w:r w:rsidRPr="0069556F">
              <w:t>L</w:t>
            </w:r>
          </w:p>
        </w:tc>
        <w:tc>
          <w:tcPr>
            <w:tcW w:w="1701" w:type="dxa"/>
          </w:tcPr>
          <w:p w14:paraId="20C2F657" w14:textId="77777777" w:rsidR="00F35C56" w:rsidRPr="0069556F" w:rsidRDefault="00F35C56" w:rsidP="00480831">
            <w:pPr>
              <w:pStyle w:val="StandardBlock"/>
            </w:pPr>
            <w:r w:rsidRPr="0069556F">
              <w:t>51</w:t>
            </w:r>
            <w:r w:rsidR="00727781">
              <w:t xml:space="preserve"> </w:t>
            </w:r>
            <w:r w:rsidRPr="0069556F">
              <w:t>% - 85</w:t>
            </w:r>
            <w:r w:rsidR="00727781">
              <w:t xml:space="preserve"> </w:t>
            </w:r>
            <w:r w:rsidRPr="0069556F">
              <w:t>%</w:t>
            </w:r>
          </w:p>
        </w:tc>
        <w:tc>
          <w:tcPr>
            <w:tcW w:w="6664" w:type="dxa"/>
          </w:tcPr>
          <w:p w14:paraId="20C2F658" w14:textId="77777777" w:rsidR="00F35C56" w:rsidRPr="0069556F" w:rsidRDefault="00F35C56" w:rsidP="00480831">
            <w:pPr>
              <w:pStyle w:val="StandardBlock"/>
            </w:pPr>
            <w:r w:rsidRPr="0069556F">
              <w:t>Forderungen überwiegend erfüllt; größere Abweichungen</w:t>
            </w:r>
          </w:p>
        </w:tc>
      </w:tr>
      <w:tr w:rsidR="00F35C56" w:rsidRPr="0069556F" w14:paraId="20C2F65D" w14:textId="77777777" w:rsidTr="00480831">
        <w:tc>
          <w:tcPr>
            <w:tcW w:w="1276" w:type="dxa"/>
          </w:tcPr>
          <w:p w14:paraId="20C2F65A" w14:textId="77777777" w:rsidR="00F35C56" w:rsidRPr="0069556F" w:rsidRDefault="00F35C56" w:rsidP="00480831">
            <w:pPr>
              <w:pStyle w:val="StandardBlock"/>
            </w:pPr>
            <w:r w:rsidRPr="0069556F">
              <w:t>P</w:t>
            </w:r>
          </w:p>
        </w:tc>
        <w:tc>
          <w:tcPr>
            <w:tcW w:w="1701" w:type="dxa"/>
          </w:tcPr>
          <w:p w14:paraId="20C2F65B" w14:textId="77777777" w:rsidR="00F35C56" w:rsidRPr="0069556F" w:rsidRDefault="00F35C56" w:rsidP="00480831">
            <w:pPr>
              <w:pStyle w:val="StandardBlock"/>
            </w:pPr>
            <w:r w:rsidRPr="0069556F">
              <w:t>16</w:t>
            </w:r>
            <w:r w:rsidR="00727781">
              <w:t xml:space="preserve"> </w:t>
            </w:r>
            <w:r w:rsidRPr="0069556F">
              <w:t>% - 50</w:t>
            </w:r>
            <w:r w:rsidR="00727781">
              <w:t xml:space="preserve"> </w:t>
            </w:r>
            <w:r w:rsidRPr="0069556F">
              <w:t>%</w:t>
            </w:r>
          </w:p>
        </w:tc>
        <w:tc>
          <w:tcPr>
            <w:tcW w:w="6664" w:type="dxa"/>
          </w:tcPr>
          <w:p w14:paraId="20C2F65C" w14:textId="77777777" w:rsidR="00F35C56" w:rsidRPr="0069556F" w:rsidRDefault="00F35C56" w:rsidP="00480831">
            <w:pPr>
              <w:pStyle w:val="StandardBlock"/>
            </w:pPr>
            <w:r w:rsidRPr="0069556F">
              <w:t>Forderungen teilweise erfüllt, schwerwiegende Abweichungen</w:t>
            </w:r>
          </w:p>
        </w:tc>
      </w:tr>
      <w:tr w:rsidR="00F35C56" w:rsidRPr="0069556F" w14:paraId="20C2F661" w14:textId="77777777" w:rsidTr="00480831">
        <w:tc>
          <w:tcPr>
            <w:tcW w:w="1276" w:type="dxa"/>
          </w:tcPr>
          <w:p w14:paraId="20C2F65E" w14:textId="77777777" w:rsidR="00F35C56" w:rsidRPr="0069556F" w:rsidRDefault="00F35C56" w:rsidP="00480831">
            <w:pPr>
              <w:pStyle w:val="StandardBlock"/>
            </w:pPr>
            <w:r w:rsidRPr="0069556F">
              <w:t>N</w:t>
            </w:r>
          </w:p>
        </w:tc>
        <w:tc>
          <w:tcPr>
            <w:tcW w:w="1701" w:type="dxa"/>
          </w:tcPr>
          <w:p w14:paraId="20C2F65F" w14:textId="77777777" w:rsidR="00F35C56" w:rsidRPr="0069556F" w:rsidRDefault="00F35C56" w:rsidP="00480831">
            <w:pPr>
              <w:pStyle w:val="StandardBlock"/>
            </w:pPr>
            <w:r w:rsidRPr="0069556F">
              <w:t>0</w:t>
            </w:r>
            <w:r w:rsidR="00727781">
              <w:t xml:space="preserve"> </w:t>
            </w:r>
            <w:r w:rsidRPr="0069556F">
              <w:t>% - 15</w:t>
            </w:r>
            <w:r w:rsidR="00727781">
              <w:t xml:space="preserve"> </w:t>
            </w:r>
            <w:r w:rsidRPr="0069556F">
              <w:t>%</w:t>
            </w:r>
          </w:p>
        </w:tc>
        <w:tc>
          <w:tcPr>
            <w:tcW w:w="6664" w:type="dxa"/>
          </w:tcPr>
          <w:p w14:paraId="20C2F660" w14:textId="77777777" w:rsidR="00F35C56" w:rsidRPr="0069556F" w:rsidRDefault="00F35C56" w:rsidP="00480831">
            <w:pPr>
              <w:pStyle w:val="StandardBlock"/>
            </w:pPr>
            <w:r w:rsidRPr="0069556F">
              <w:t>Forderungen nicht erfüllt</w:t>
            </w:r>
          </w:p>
        </w:tc>
      </w:tr>
    </w:tbl>
    <w:p w14:paraId="20C2F662" w14:textId="77777777" w:rsidR="00F35C56" w:rsidRPr="0069556F" w:rsidRDefault="00F35C56" w:rsidP="00F35C56"/>
    <w:p w14:paraId="20C2F663" w14:textId="77777777" w:rsidR="006F265B" w:rsidRDefault="006F265B" w:rsidP="00F35C56">
      <w:pPr>
        <w:jc w:val="both"/>
      </w:pPr>
    </w:p>
    <w:p w14:paraId="20C2F664" w14:textId="77777777" w:rsidR="00F35C56" w:rsidRDefault="00F35C56" w:rsidP="00F35C56">
      <w:pPr>
        <w:jc w:val="both"/>
      </w:pPr>
      <w:r w:rsidRPr="0069556F">
        <w:t xml:space="preserve">Aus den Einstufungen der Prozessattribute (PAs) berechnet sich anhand der folgenden </w:t>
      </w:r>
      <w:proofErr w:type="gramStart"/>
      <w:r w:rsidRPr="0069556F">
        <w:t>Tabelle  der</w:t>
      </w:r>
      <w:proofErr w:type="gramEnd"/>
      <w:r w:rsidRPr="0069556F">
        <w:t xml:space="preserve"> Prozessreifegrad </w:t>
      </w:r>
      <w:r w:rsidR="009F0356">
        <w:t>jedes einzelnen,</w:t>
      </w:r>
      <w:r w:rsidRPr="0069556F">
        <w:t xml:space="preserve"> </w:t>
      </w:r>
      <w:r w:rsidR="006C17B8">
        <w:t>untersuchten</w:t>
      </w:r>
      <w:r w:rsidRPr="0069556F">
        <w:t xml:space="preserve"> Prozesse</w:t>
      </w:r>
      <w:r w:rsidR="009F0356">
        <w:t>s</w:t>
      </w:r>
      <w:r w:rsidRPr="0069556F">
        <w:t xml:space="preserve">: </w:t>
      </w:r>
    </w:p>
    <w:p w14:paraId="20C2F665" w14:textId="77777777" w:rsidR="006F265B" w:rsidRPr="0069556F" w:rsidRDefault="006F265B" w:rsidP="00F35C5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700"/>
        <w:gridCol w:w="6370"/>
      </w:tblGrid>
      <w:tr w:rsidR="00F35C56" w:rsidRPr="0069556F" w14:paraId="20C2F669" w14:textId="77777777" w:rsidTr="004D5C67">
        <w:tc>
          <w:tcPr>
            <w:tcW w:w="1647" w:type="dxa"/>
            <w:shd w:val="clear" w:color="auto" w:fill="BFBFBF"/>
          </w:tcPr>
          <w:p w14:paraId="20C2F666" w14:textId="77777777" w:rsidR="00F35C56" w:rsidRPr="0069556F" w:rsidRDefault="00F35C56" w:rsidP="00480831">
            <w:pPr>
              <w:pStyle w:val="StandardBlock"/>
            </w:pPr>
            <w:r w:rsidRPr="0069556F">
              <w:t xml:space="preserve">Reifegradstufe </w:t>
            </w:r>
          </w:p>
        </w:tc>
        <w:tc>
          <w:tcPr>
            <w:tcW w:w="1700" w:type="dxa"/>
            <w:shd w:val="clear" w:color="auto" w:fill="BFBFBF"/>
          </w:tcPr>
          <w:p w14:paraId="20C2F667" w14:textId="77777777" w:rsidR="00F35C56" w:rsidRPr="0069556F" w:rsidRDefault="00F35C56" w:rsidP="00480831">
            <w:pPr>
              <w:pStyle w:val="StandardBlock"/>
            </w:pPr>
            <w:r w:rsidRPr="0069556F">
              <w:t>Prozessattribut</w:t>
            </w:r>
          </w:p>
        </w:tc>
        <w:tc>
          <w:tcPr>
            <w:tcW w:w="6370" w:type="dxa"/>
            <w:shd w:val="clear" w:color="auto" w:fill="BFBFBF"/>
          </w:tcPr>
          <w:p w14:paraId="20C2F668" w14:textId="77777777" w:rsidR="00F35C56" w:rsidRPr="0069556F" w:rsidRDefault="00F35C56" w:rsidP="00480831">
            <w:pPr>
              <w:pStyle w:val="StandardBlock"/>
            </w:pPr>
            <w:r w:rsidRPr="0069556F">
              <w:t>Bewertung</w:t>
            </w:r>
          </w:p>
        </w:tc>
      </w:tr>
      <w:tr w:rsidR="00F35C56" w:rsidRPr="0069556F" w14:paraId="20C2F66D" w14:textId="77777777" w:rsidTr="00480831">
        <w:tc>
          <w:tcPr>
            <w:tcW w:w="1647" w:type="dxa"/>
          </w:tcPr>
          <w:p w14:paraId="20C2F66A" w14:textId="77777777" w:rsidR="00F35C56" w:rsidRPr="0069556F" w:rsidRDefault="00F35C56" w:rsidP="00480831">
            <w:pPr>
              <w:pStyle w:val="StandardBlock"/>
            </w:pPr>
            <w:r w:rsidRPr="0069556F">
              <w:t>Level 1</w:t>
            </w:r>
          </w:p>
        </w:tc>
        <w:tc>
          <w:tcPr>
            <w:tcW w:w="1700" w:type="dxa"/>
          </w:tcPr>
          <w:p w14:paraId="20C2F66B" w14:textId="77777777" w:rsidR="00F35C56" w:rsidRPr="0069556F" w:rsidRDefault="00F35C56" w:rsidP="00480831">
            <w:pPr>
              <w:pStyle w:val="StandardBlock"/>
            </w:pPr>
            <w:r w:rsidRPr="0069556F">
              <w:t>PA 1.1</w:t>
            </w:r>
          </w:p>
        </w:tc>
        <w:tc>
          <w:tcPr>
            <w:tcW w:w="6370" w:type="dxa"/>
          </w:tcPr>
          <w:p w14:paraId="20C2F66C" w14:textId="77777777" w:rsidR="00F35C56" w:rsidRPr="0069556F" w:rsidRDefault="00727781" w:rsidP="00480831">
            <w:pPr>
              <w:pStyle w:val="StandardBlock"/>
            </w:pPr>
            <w:r>
              <w:t>ü</w:t>
            </w:r>
            <w:r w:rsidRPr="0069556F">
              <w:t xml:space="preserve">berwiegend </w:t>
            </w:r>
            <w:r w:rsidR="00F35C56" w:rsidRPr="0069556F">
              <w:t>(L) oder vollständig erfüllt (F)</w:t>
            </w:r>
          </w:p>
        </w:tc>
      </w:tr>
      <w:tr w:rsidR="00F35C56" w:rsidRPr="0069556F" w14:paraId="20C2F671" w14:textId="77777777" w:rsidTr="00480831">
        <w:tc>
          <w:tcPr>
            <w:tcW w:w="1647" w:type="dxa"/>
            <w:vMerge w:val="restart"/>
          </w:tcPr>
          <w:p w14:paraId="20C2F66E" w14:textId="77777777" w:rsidR="00F35C56" w:rsidRPr="0069556F" w:rsidRDefault="00F35C56" w:rsidP="00480831">
            <w:pPr>
              <w:pStyle w:val="StandardBlock"/>
            </w:pPr>
            <w:r w:rsidRPr="0069556F">
              <w:t>Level 2</w:t>
            </w:r>
          </w:p>
        </w:tc>
        <w:tc>
          <w:tcPr>
            <w:tcW w:w="1700" w:type="dxa"/>
          </w:tcPr>
          <w:p w14:paraId="20C2F66F" w14:textId="77777777" w:rsidR="00F35C56" w:rsidRPr="0069556F" w:rsidRDefault="00F35C56" w:rsidP="00480831">
            <w:pPr>
              <w:pStyle w:val="StandardBlock"/>
            </w:pPr>
            <w:r w:rsidRPr="0069556F">
              <w:t>PA 1.1</w:t>
            </w:r>
          </w:p>
        </w:tc>
        <w:tc>
          <w:tcPr>
            <w:tcW w:w="6370" w:type="dxa"/>
          </w:tcPr>
          <w:p w14:paraId="20C2F670" w14:textId="77777777" w:rsidR="00F35C56" w:rsidRPr="0069556F" w:rsidRDefault="00727781" w:rsidP="00480831">
            <w:pPr>
              <w:pStyle w:val="StandardBlock"/>
            </w:pPr>
            <w:r>
              <w:t>v</w:t>
            </w:r>
            <w:r w:rsidRPr="0069556F">
              <w:t xml:space="preserve">ollständig </w:t>
            </w:r>
            <w:r w:rsidR="00F35C56" w:rsidRPr="0069556F">
              <w:t>erfüllt (F)</w:t>
            </w:r>
          </w:p>
        </w:tc>
      </w:tr>
      <w:tr w:rsidR="00F35C56" w:rsidRPr="0069556F" w14:paraId="20C2F675" w14:textId="77777777" w:rsidTr="00480831">
        <w:tc>
          <w:tcPr>
            <w:tcW w:w="1647" w:type="dxa"/>
            <w:vMerge/>
          </w:tcPr>
          <w:p w14:paraId="20C2F672" w14:textId="77777777" w:rsidR="00F35C56" w:rsidRPr="0069556F" w:rsidRDefault="00F35C56" w:rsidP="00480831">
            <w:pPr>
              <w:pStyle w:val="StandardBlock"/>
            </w:pPr>
          </w:p>
        </w:tc>
        <w:tc>
          <w:tcPr>
            <w:tcW w:w="1700" w:type="dxa"/>
          </w:tcPr>
          <w:p w14:paraId="20C2F673" w14:textId="77777777" w:rsidR="00F35C56" w:rsidRPr="0069556F" w:rsidRDefault="00F35C56" w:rsidP="00480831">
            <w:pPr>
              <w:pStyle w:val="StandardBlock"/>
            </w:pPr>
            <w:r w:rsidRPr="0069556F">
              <w:t>PA 2.1</w:t>
            </w:r>
          </w:p>
        </w:tc>
        <w:tc>
          <w:tcPr>
            <w:tcW w:w="6370" w:type="dxa"/>
          </w:tcPr>
          <w:p w14:paraId="20C2F674" w14:textId="77777777" w:rsidR="00F35C56" w:rsidRPr="0069556F" w:rsidRDefault="00727781" w:rsidP="00480831">
            <w:pPr>
              <w:pStyle w:val="StandardBlock"/>
            </w:pPr>
            <w:r>
              <w:t>ü</w:t>
            </w:r>
            <w:r w:rsidRPr="0069556F">
              <w:t xml:space="preserve">berwiegend </w:t>
            </w:r>
            <w:r w:rsidR="00F35C56" w:rsidRPr="0069556F">
              <w:t>(L) oder vollständig erfüllt (F)</w:t>
            </w:r>
          </w:p>
        </w:tc>
      </w:tr>
      <w:tr w:rsidR="00F35C56" w:rsidRPr="0069556F" w14:paraId="20C2F679" w14:textId="77777777" w:rsidTr="00480831">
        <w:tc>
          <w:tcPr>
            <w:tcW w:w="1647" w:type="dxa"/>
            <w:vMerge/>
          </w:tcPr>
          <w:p w14:paraId="20C2F676" w14:textId="77777777" w:rsidR="00F35C56" w:rsidRPr="0069556F" w:rsidRDefault="00F35C56" w:rsidP="00480831">
            <w:pPr>
              <w:pStyle w:val="StandardBlock"/>
            </w:pPr>
          </w:p>
        </w:tc>
        <w:tc>
          <w:tcPr>
            <w:tcW w:w="1700" w:type="dxa"/>
          </w:tcPr>
          <w:p w14:paraId="20C2F677" w14:textId="77777777" w:rsidR="00F35C56" w:rsidRPr="0069556F" w:rsidRDefault="00F35C56" w:rsidP="00480831">
            <w:pPr>
              <w:pStyle w:val="StandardBlock"/>
            </w:pPr>
            <w:r w:rsidRPr="0069556F">
              <w:t>PA 2.2</w:t>
            </w:r>
          </w:p>
        </w:tc>
        <w:tc>
          <w:tcPr>
            <w:tcW w:w="6370" w:type="dxa"/>
          </w:tcPr>
          <w:p w14:paraId="20C2F678" w14:textId="77777777" w:rsidR="00F35C56" w:rsidRPr="0069556F" w:rsidRDefault="00727781" w:rsidP="00480831">
            <w:pPr>
              <w:pStyle w:val="StandardBlock"/>
            </w:pPr>
            <w:r>
              <w:t>ü</w:t>
            </w:r>
            <w:r w:rsidRPr="0069556F">
              <w:t xml:space="preserve">berwiegend </w:t>
            </w:r>
            <w:r w:rsidR="00F35C56" w:rsidRPr="0069556F">
              <w:t>(L) oder vollständig erfüllt (F)</w:t>
            </w:r>
          </w:p>
        </w:tc>
      </w:tr>
      <w:tr w:rsidR="00F35C56" w:rsidRPr="0069556F" w14:paraId="20C2F67D" w14:textId="77777777" w:rsidTr="00480831">
        <w:tc>
          <w:tcPr>
            <w:tcW w:w="1647" w:type="dxa"/>
            <w:vMerge w:val="restart"/>
          </w:tcPr>
          <w:p w14:paraId="20C2F67A" w14:textId="77777777" w:rsidR="00F35C56" w:rsidRPr="0069556F" w:rsidRDefault="00F35C56" w:rsidP="00480831">
            <w:pPr>
              <w:pStyle w:val="StandardBlock"/>
            </w:pPr>
            <w:r w:rsidRPr="0069556F">
              <w:t>Level 3</w:t>
            </w:r>
          </w:p>
        </w:tc>
        <w:tc>
          <w:tcPr>
            <w:tcW w:w="1700" w:type="dxa"/>
          </w:tcPr>
          <w:p w14:paraId="20C2F67B" w14:textId="77777777" w:rsidR="00F35C56" w:rsidRPr="0069556F" w:rsidRDefault="00F35C56" w:rsidP="00480831">
            <w:pPr>
              <w:pStyle w:val="StandardBlock"/>
            </w:pPr>
            <w:r w:rsidRPr="0069556F">
              <w:t>PA 1.1</w:t>
            </w:r>
          </w:p>
        </w:tc>
        <w:tc>
          <w:tcPr>
            <w:tcW w:w="6370" w:type="dxa"/>
          </w:tcPr>
          <w:p w14:paraId="20C2F67C" w14:textId="77777777" w:rsidR="00F35C56" w:rsidRPr="0069556F" w:rsidRDefault="00727781" w:rsidP="00480831">
            <w:pPr>
              <w:pStyle w:val="StandardBlock"/>
            </w:pPr>
            <w:r>
              <w:t>v</w:t>
            </w:r>
            <w:r w:rsidRPr="0069556F">
              <w:t xml:space="preserve">ollständig </w:t>
            </w:r>
            <w:r w:rsidR="00F35C56" w:rsidRPr="0069556F">
              <w:t>erfüllt (F)</w:t>
            </w:r>
          </w:p>
        </w:tc>
      </w:tr>
      <w:tr w:rsidR="00F35C56" w:rsidRPr="0069556F" w14:paraId="20C2F681" w14:textId="77777777" w:rsidTr="00480831">
        <w:tc>
          <w:tcPr>
            <w:tcW w:w="1647" w:type="dxa"/>
            <w:vMerge/>
          </w:tcPr>
          <w:p w14:paraId="20C2F67E" w14:textId="77777777" w:rsidR="00F35C56" w:rsidRPr="0069556F" w:rsidRDefault="00F35C56" w:rsidP="00480831">
            <w:pPr>
              <w:pStyle w:val="StandardBlock"/>
            </w:pPr>
          </w:p>
        </w:tc>
        <w:tc>
          <w:tcPr>
            <w:tcW w:w="1700" w:type="dxa"/>
          </w:tcPr>
          <w:p w14:paraId="20C2F67F" w14:textId="77777777" w:rsidR="00F35C56" w:rsidRPr="0069556F" w:rsidRDefault="00F35C56" w:rsidP="00480831">
            <w:pPr>
              <w:pStyle w:val="StandardBlock"/>
            </w:pPr>
            <w:r w:rsidRPr="0069556F">
              <w:t>PA 2.1</w:t>
            </w:r>
          </w:p>
        </w:tc>
        <w:tc>
          <w:tcPr>
            <w:tcW w:w="6370" w:type="dxa"/>
          </w:tcPr>
          <w:p w14:paraId="20C2F680" w14:textId="77777777" w:rsidR="00F35C56" w:rsidRPr="0069556F" w:rsidRDefault="00727781" w:rsidP="00480831">
            <w:pPr>
              <w:pStyle w:val="StandardBlock"/>
            </w:pPr>
            <w:r>
              <w:t>v</w:t>
            </w:r>
            <w:r w:rsidRPr="0069556F">
              <w:t xml:space="preserve">ollständig </w:t>
            </w:r>
            <w:r w:rsidR="00F35C56" w:rsidRPr="0069556F">
              <w:t>erfüllt (F)</w:t>
            </w:r>
          </w:p>
        </w:tc>
      </w:tr>
      <w:tr w:rsidR="00F35C56" w:rsidRPr="0069556F" w14:paraId="20C2F685" w14:textId="77777777" w:rsidTr="00480831">
        <w:tc>
          <w:tcPr>
            <w:tcW w:w="1647" w:type="dxa"/>
            <w:vMerge/>
          </w:tcPr>
          <w:p w14:paraId="20C2F682" w14:textId="77777777" w:rsidR="00F35C56" w:rsidRPr="0069556F" w:rsidRDefault="00F35C56" w:rsidP="00480831">
            <w:pPr>
              <w:pStyle w:val="StandardBlock"/>
            </w:pPr>
          </w:p>
        </w:tc>
        <w:tc>
          <w:tcPr>
            <w:tcW w:w="1700" w:type="dxa"/>
          </w:tcPr>
          <w:p w14:paraId="20C2F683" w14:textId="77777777" w:rsidR="00F35C56" w:rsidRPr="0069556F" w:rsidRDefault="00F35C56" w:rsidP="00480831">
            <w:pPr>
              <w:pStyle w:val="StandardBlock"/>
            </w:pPr>
            <w:r w:rsidRPr="0069556F">
              <w:t>PA 2.2</w:t>
            </w:r>
          </w:p>
        </w:tc>
        <w:tc>
          <w:tcPr>
            <w:tcW w:w="6370" w:type="dxa"/>
          </w:tcPr>
          <w:p w14:paraId="20C2F684" w14:textId="77777777" w:rsidR="00F35C56" w:rsidRPr="0069556F" w:rsidRDefault="00727781" w:rsidP="00480831">
            <w:pPr>
              <w:pStyle w:val="StandardBlock"/>
            </w:pPr>
            <w:r>
              <w:t>v</w:t>
            </w:r>
            <w:r w:rsidRPr="0069556F">
              <w:t xml:space="preserve">ollständig </w:t>
            </w:r>
            <w:r w:rsidR="00F35C56" w:rsidRPr="0069556F">
              <w:t>erfüllt (F)</w:t>
            </w:r>
          </w:p>
        </w:tc>
      </w:tr>
      <w:tr w:rsidR="00F35C56" w:rsidRPr="0069556F" w14:paraId="20C2F689" w14:textId="77777777" w:rsidTr="00480831">
        <w:tc>
          <w:tcPr>
            <w:tcW w:w="1647" w:type="dxa"/>
            <w:vMerge/>
          </w:tcPr>
          <w:p w14:paraId="20C2F686" w14:textId="77777777" w:rsidR="00F35C56" w:rsidRPr="0069556F" w:rsidRDefault="00F35C56" w:rsidP="00480831">
            <w:pPr>
              <w:pStyle w:val="StandardBlock"/>
            </w:pPr>
          </w:p>
        </w:tc>
        <w:tc>
          <w:tcPr>
            <w:tcW w:w="1700" w:type="dxa"/>
          </w:tcPr>
          <w:p w14:paraId="20C2F687" w14:textId="77777777" w:rsidR="00F35C56" w:rsidRPr="0069556F" w:rsidRDefault="00F35C56" w:rsidP="00480831">
            <w:pPr>
              <w:pStyle w:val="StandardBlock"/>
            </w:pPr>
            <w:r w:rsidRPr="0069556F">
              <w:t>PA 3.1</w:t>
            </w:r>
          </w:p>
        </w:tc>
        <w:tc>
          <w:tcPr>
            <w:tcW w:w="6370" w:type="dxa"/>
          </w:tcPr>
          <w:p w14:paraId="20C2F688" w14:textId="77777777" w:rsidR="00F35C56" w:rsidRPr="0069556F" w:rsidRDefault="00727781" w:rsidP="00480831">
            <w:pPr>
              <w:pStyle w:val="StandardBlock"/>
            </w:pPr>
            <w:r>
              <w:t>ü</w:t>
            </w:r>
            <w:r w:rsidRPr="0069556F">
              <w:t xml:space="preserve">berwiegend </w:t>
            </w:r>
            <w:r w:rsidR="00F35C56" w:rsidRPr="0069556F">
              <w:t>(L) oder vollständig erfüllt (F)</w:t>
            </w:r>
          </w:p>
        </w:tc>
      </w:tr>
      <w:tr w:rsidR="00F35C56" w:rsidRPr="0069556F" w14:paraId="20C2F68D" w14:textId="77777777" w:rsidTr="00480831">
        <w:tc>
          <w:tcPr>
            <w:tcW w:w="1647" w:type="dxa"/>
            <w:vMerge/>
          </w:tcPr>
          <w:p w14:paraId="20C2F68A" w14:textId="77777777" w:rsidR="00F35C56" w:rsidRPr="0069556F" w:rsidRDefault="00F35C56" w:rsidP="00480831">
            <w:pPr>
              <w:pStyle w:val="StandardBlock"/>
            </w:pPr>
          </w:p>
        </w:tc>
        <w:tc>
          <w:tcPr>
            <w:tcW w:w="1700" w:type="dxa"/>
          </w:tcPr>
          <w:p w14:paraId="20C2F68B" w14:textId="77777777" w:rsidR="00F35C56" w:rsidRPr="0069556F" w:rsidRDefault="00F35C56" w:rsidP="00480831">
            <w:pPr>
              <w:pStyle w:val="StandardBlock"/>
            </w:pPr>
            <w:r w:rsidRPr="0069556F">
              <w:t>PA 3.2</w:t>
            </w:r>
          </w:p>
        </w:tc>
        <w:tc>
          <w:tcPr>
            <w:tcW w:w="6370" w:type="dxa"/>
          </w:tcPr>
          <w:p w14:paraId="20C2F68C" w14:textId="77777777" w:rsidR="00F35C56" w:rsidRPr="0069556F" w:rsidRDefault="00727781" w:rsidP="00480831">
            <w:pPr>
              <w:pStyle w:val="StandardBlock"/>
            </w:pPr>
            <w:r>
              <w:t>ü</w:t>
            </w:r>
            <w:r w:rsidRPr="0069556F">
              <w:t xml:space="preserve">berwiegend </w:t>
            </w:r>
            <w:r w:rsidR="00F35C56" w:rsidRPr="0069556F">
              <w:t>(L) oder vollständig erfüllt (F)</w:t>
            </w:r>
          </w:p>
        </w:tc>
      </w:tr>
    </w:tbl>
    <w:p w14:paraId="20C2F68E" w14:textId="77777777" w:rsidR="009F0356" w:rsidRDefault="009F0356" w:rsidP="009F0356">
      <w:pPr>
        <w:pStyle w:val="StandardBlock"/>
      </w:pPr>
    </w:p>
    <w:p w14:paraId="20C2F68F" w14:textId="77777777" w:rsidR="0069556F" w:rsidRPr="0069556F" w:rsidRDefault="006F265B" w:rsidP="0069556F">
      <w:pPr>
        <w:pStyle w:val="berschrift1"/>
      </w:pPr>
      <w:r>
        <w:br w:type="page"/>
      </w:r>
      <w:r w:rsidR="0069556F" w:rsidRPr="0069556F">
        <w:lastRenderedPageBreak/>
        <w:t>Einstufung</w:t>
      </w:r>
    </w:p>
    <w:p w14:paraId="20C2F690" w14:textId="77777777" w:rsidR="006F265B" w:rsidRDefault="00F35C56" w:rsidP="006F265B">
      <w:pPr>
        <w:jc w:val="both"/>
      </w:pPr>
      <w:r w:rsidRPr="0069556F">
        <w:t>Die Einstufung des Software</w:t>
      </w:r>
      <w:r w:rsidR="00727781">
        <w:t>l</w:t>
      </w:r>
      <w:r w:rsidRPr="0069556F">
        <w:t>ieferanten erfolgt auf Basis des ermittelten Prozessreifegrads. Dabei wird jeder Prozess einem Prozessreifegrad (0-3) Pi, mit i = 1…Anzahl (n) der assessierten Prozesse zugeordnet.</w:t>
      </w:r>
    </w:p>
    <w:p w14:paraId="20C2F691" w14:textId="77777777" w:rsidR="006F265B" w:rsidRPr="0069556F" w:rsidRDefault="006F265B" w:rsidP="006F265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07"/>
        <w:gridCol w:w="1927"/>
        <w:gridCol w:w="1823"/>
        <w:gridCol w:w="2809"/>
      </w:tblGrid>
      <w:tr w:rsidR="00F35C56" w:rsidRPr="0069556F" w14:paraId="20C2F697" w14:textId="77777777" w:rsidTr="004D5C67">
        <w:tc>
          <w:tcPr>
            <w:tcW w:w="851" w:type="dxa"/>
            <w:shd w:val="clear" w:color="auto" w:fill="BFBFBF"/>
          </w:tcPr>
          <w:p w14:paraId="20C2F692" w14:textId="77777777" w:rsidR="00F35C56" w:rsidRPr="0069556F" w:rsidRDefault="00F35C56" w:rsidP="00480831">
            <w:pPr>
              <w:pStyle w:val="StandardBlock"/>
              <w:jc w:val="left"/>
            </w:pPr>
            <w:r w:rsidRPr="0069556F">
              <w:t xml:space="preserve">Stufe </w:t>
            </w:r>
          </w:p>
        </w:tc>
        <w:tc>
          <w:tcPr>
            <w:tcW w:w="2307" w:type="dxa"/>
            <w:shd w:val="clear" w:color="auto" w:fill="BFBFBF"/>
          </w:tcPr>
          <w:p w14:paraId="20C2F693" w14:textId="77777777" w:rsidR="00F35C56" w:rsidRPr="0069556F" w:rsidRDefault="00F35C56" w:rsidP="00480831">
            <w:pPr>
              <w:pStyle w:val="StandardBlock"/>
              <w:jc w:val="left"/>
            </w:pPr>
            <w:r w:rsidRPr="0069556F">
              <w:t>Prozess</w:t>
            </w:r>
          </w:p>
        </w:tc>
        <w:tc>
          <w:tcPr>
            <w:tcW w:w="1927" w:type="dxa"/>
            <w:shd w:val="clear" w:color="auto" w:fill="BFBFBF"/>
          </w:tcPr>
          <w:p w14:paraId="20C2F694" w14:textId="77777777" w:rsidR="00F35C56" w:rsidRPr="0069556F" w:rsidRDefault="00F35C56" w:rsidP="00480831">
            <w:pPr>
              <w:pStyle w:val="StandardBlock"/>
              <w:jc w:val="left"/>
            </w:pPr>
            <w:r w:rsidRPr="0069556F">
              <w:t>Prozessreifegrad</w:t>
            </w:r>
          </w:p>
        </w:tc>
        <w:tc>
          <w:tcPr>
            <w:tcW w:w="1823" w:type="dxa"/>
            <w:shd w:val="clear" w:color="auto" w:fill="BFBFBF"/>
          </w:tcPr>
          <w:p w14:paraId="20C2F695" w14:textId="77777777" w:rsidR="00F35C56" w:rsidRPr="0069556F" w:rsidRDefault="00F35C56" w:rsidP="00480831">
            <w:pPr>
              <w:pStyle w:val="StandardBlock"/>
              <w:jc w:val="left"/>
            </w:pPr>
          </w:p>
        </w:tc>
        <w:tc>
          <w:tcPr>
            <w:tcW w:w="2809" w:type="dxa"/>
            <w:shd w:val="clear" w:color="auto" w:fill="BFBFBF"/>
          </w:tcPr>
          <w:p w14:paraId="20C2F696" w14:textId="77777777" w:rsidR="00F35C56" w:rsidRPr="0069556F" w:rsidRDefault="00F35C56" w:rsidP="00480831">
            <w:pPr>
              <w:pStyle w:val="StandardBlock"/>
              <w:jc w:val="left"/>
            </w:pPr>
            <w:r w:rsidRPr="0069556F">
              <w:t>Feststellung / Maßnahmen</w:t>
            </w:r>
          </w:p>
        </w:tc>
      </w:tr>
      <w:tr w:rsidR="00F35C56" w:rsidRPr="0069556F" w14:paraId="20C2F69D" w14:textId="77777777" w:rsidTr="00480831">
        <w:tc>
          <w:tcPr>
            <w:tcW w:w="851" w:type="dxa"/>
            <w:vMerge w:val="restart"/>
          </w:tcPr>
          <w:p w14:paraId="20C2F698" w14:textId="77777777" w:rsidR="00F35C56" w:rsidRPr="0069556F" w:rsidRDefault="00F35C56" w:rsidP="00480831">
            <w:pPr>
              <w:pStyle w:val="StandardBlock"/>
            </w:pPr>
            <w:r w:rsidRPr="0069556F">
              <w:t>A</w:t>
            </w:r>
          </w:p>
        </w:tc>
        <w:tc>
          <w:tcPr>
            <w:tcW w:w="2307" w:type="dxa"/>
          </w:tcPr>
          <w:p w14:paraId="20C2F699" w14:textId="6B2396EF" w:rsidR="00F35C56" w:rsidRPr="00CF57BF" w:rsidRDefault="00F35C56" w:rsidP="00472A47">
            <w:pPr>
              <w:pStyle w:val="StandardBlock"/>
              <w:jc w:val="left"/>
              <w:rPr>
                <w:color w:val="00B050"/>
                <w:lang w:val="en-US"/>
              </w:rPr>
            </w:pPr>
            <w:r w:rsidRPr="0069556F">
              <w:rPr>
                <w:lang w:val="en-US"/>
              </w:rPr>
              <w:t>MAN.3, ACQ.4, SUP.1, SUP.8 – SUP.10</w:t>
            </w:r>
            <w:r w:rsidR="00CF57BF">
              <w:rPr>
                <w:lang w:val="en-US"/>
              </w:rPr>
              <w:br/>
            </w:r>
            <w:r w:rsidR="00CF57BF" w:rsidRPr="00911856">
              <w:rPr>
                <w:color w:val="008000"/>
                <w:lang w:val="en-US"/>
              </w:rPr>
              <w:t>SYS.2 – SYS.5</w:t>
            </w:r>
            <w:r w:rsidR="00CF57BF" w:rsidRPr="00911856">
              <w:rPr>
                <w:color w:val="008000"/>
                <w:lang w:val="en-US"/>
              </w:rPr>
              <w:br/>
              <w:t>SWE.1 – SWE.6</w:t>
            </w:r>
          </w:p>
        </w:tc>
        <w:tc>
          <w:tcPr>
            <w:tcW w:w="1927" w:type="dxa"/>
          </w:tcPr>
          <w:p w14:paraId="20C2F69A" w14:textId="77777777" w:rsidR="00F35C56" w:rsidRPr="0069556F" w:rsidRDefault="009D0FBD" w:rsidP="00480831">
            <w:pPr>
              <w:pStyle w:val="StandardBlock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9556F">
              <w:rPr>
                <w:lang w:val="en-US"/>
              </w:rPr>
              <w:t xml:space="preserve">lle </w:t>
            </w:r>
            <w:proofErr w:type="gramStart"/>
            <w:r w:rsidR="00F35C56" w:rsidRPr="0069556F">
              <w:rPr>
                <w:lang w:val="en-US"/>
              </w:rPr>
              <w:t>Pi  &gt;</w:t>
            </w:r>
            <w:proofErr w:type="gramEnd"/>
            <w:r w:rsidR="00F35C56" w:rsidRPr="0069556F">
              <w:rPr>
                <w:lang w:val="en-US"/>
              </w:rPr>
              <w:t>= 2</w:t>
            </w:r>
          </w:p>
        </w:tc>
        <w:tc>
          <w:tcPr>
            <w:tcW w:w="1823" w:type="dxa"/>
            <w:vMerge w:val="restart"/>
            <w:vAlign w:val="center"/>
          </w:tcPr>
          <w:p w14:paraId="20C2F69B" w14:textId="77777777" w:rsidR="00F35C56" w:rsidRPr="0069556F" w:rsidRDefault="009D0FBD" w:rsidP="00480831">
            <w:pPr>
              <w:pStyle w:val="StandardBlock"/>
              <w:jc w:val="center"/>
            </w:pPr>
            <w:r>
              <w:t>q</w:t>
            </w:r>
            <w:r w:rsidRPr="0069556F">
              <w:t>ualitätsfähig</w:t>
            </w:r>
          </w:p>
        </w:tc>
        <w:tc>
          <w:tcPr>
            <w:tcW w:w="2809" w:type="dxa"/>
            <w:vMerge w:val="restart"/>
            <w:vAlign w:val="center"/>
          </w:tcPr>
          <w:p w14:paraId="20C2F69C" w14:textId="77777777" w:rsidR="00F35C56" w:rsidRPr="0069556F" w:rsidRDefault="00F35C56" w:rsidP="00480831">
            <w:pPr>
              <w:pStyle w:val="StandardBlock"/>
              <w:jc w:val="center"/>
            </w:pPr>
          </w:p>
        </w:tc>
      </w:tr>
      <w:tr w:rsidR="00F35C56" w:rsidRPr="0069556F" w14:paraId="20C2F6A2" w14:textId="77777777" w:rsidTr="00480831">
        <w:tc>
          <w:tcPr>
            <w:tcW w:w="851" w:type="dxa"/>
            <w:vMerge/>
          </w:tcPr>
          <w:p w14:paraId="20C2F69E" w14:textId="77777777" w:rsidR="00F35C56" w:rsidRPr="0069556F" w:rsidRDefault="00F35C56" w:rsidP="00480831">
            <w:pPr>
              <w:pStyle w:val="StandardBlock"/>
            </w:pPr>
          </w:p>
        </w:tc>
        <w:tc>
          <w:tcPr>
            <w:tcW w:w="4234" w:type="dxa"/>
            <w:gridSpan w:val="2"/>
          </w:tcPr>
          <w:p w14:paraId="20C2F69F" w14:textId="77777777" w:rsidR="00F35C56" w:rsidRPr="0069556F" w:rsidRDefault="00F35C56" w:rsidP="00480831">
            <w:pPr>
              <w:pStyle w:val="StandardBlock"/>
              <w:jc w:val="center"/>
            </w:pPr>
            <w:r w:rsidRPr="0069556F">
              <w:t>und</w:t>
            </w:r>
          </w:p>
        </w:tc>
        <w:tc>
          <w:tcPr>
            <w:tcW w:w="1823" w:type="dxa"/>
            <w:vMerge/>
            <w:vAlign w:val="center"/>
          </w:tcPr>
          <w:p w14:paraId="20C2F6A0" w14:textId="77777777" w:rsidR="00F35C56" w:rsidRPr="0069556F" w:rsidRDefault="00F35C56" w:rsidP="00480831">
            <w:pPr>
              <w:pStyle w:val="StandardBlock"/>
              <w:jc w:val="center"/>
            </w:pPr>
          </w:p>
        </w:tc>
        <w:tc>
          <w:tcPr>
            <w:tcW w:w="2809" w:type="dxa"/>
            <w:vMerge/>
            <w:vAlign w:val="center"/>
          </w:tcPr>
          <w:p w14:paraId="20C2F6A1" w14:textId="77777777" w:rsidR="00F35C56" w:rsidRPr="0069556F" w:rsidRDefault="00F35C56" w:rsidP="00480831">
            <w:pPr>
              <w:pStyle w:val="StandardBlock"/>
              <w:jc w:val="center"/>
            </w:pPr>
          </w:p>
        </w:tc>
      </w:tr>
      <w:tr w:rsidR="00F35C56" w:rsidRPr="0069556F" w14:paraId="20C2F6A8" w14:textId="77777777" w:rsidTr="00480831">
        <w:tc>
          <w:tcPr>
            <w:tcW w:w="851" w:type="dxa"/>
            <w:vMerge/>
          </w:tcPr>
          <w:p w14:paraId="20C2F6A3" w14:textId="77777777" w:rsidR="00F35C56" w:rsidRPr="0069556F" w:rsidRDefault="00F35C56" w:rsidP="00480831">
            <w:pPr>
              <w:pStyle w:val="StandardBlock"/>
            </w:pPr>
          </w:p>
        </w:tc>
        <w:tc>
          <w:tcPr>
            <w:tcW w:w="2307" w:type="dxa"/>
          </w:tcPr>
          <w:p w14:paraId="20C2F6A4" w14:textId="6F1C3ACE" w:rsidR="00F35C56" w:rsidRPr="00911856" w:rsidRDefault="00CF57BF" w:rsidP="00480831">
            <w:pPr>
              <w:pStyle w:val="StandardBlock"/>
              <w:jc w:val="left"/>
              <w:rPr>
                <w:color w:val="008000"/>
              </w:rPr>
            </w:pPr>
            <w:r w:rsidRPr="00911856">
              <w:rPr>
                <w:color w:val="008000"/>
              </w:rPr>
              <w:t>MAN.5</w:t>
            </w:r>
            <w:r w:rsidR="00CE25AA" w:rsidRPr="00911856">
              <w:rPr>
                <w:rStyle w:val="Funotenzeichen"/>
                <w:color w:val="008000"/>
              </w:rPr>
              <w:footnoteReference w:id="1"/>
            </w:r>
            <w:r w:rsidR="00CE25AA" w:rsidRPr="00911856">
              <w:rPr>
                <w:color w:val="008000"/>
              </w:rPr>
              <w:t xml:space="preserve"> und </w:t>
            </w:r>
            <w:r w:rsidRPr="00911856">
              <w:rPr>
                <w:color w:val="008000"/>
              </w:rPr>
              <w:t>SPL.2</w:t>
            </w:r>
            <w:r w:rsidR="00CE25AA" w:rsidRPr="00911856">
              <w:rPr>
                <w:color w:val="008000"/>
                <w:vertAlign w:val="superscript"/>
              </w:rPr>
              <w:t>1</w:t>
            </w:r>
          </w:p>
        </w:tc>
        <w:tc>
          <w:tcPr>
            <w:tcW w:w="1927" w:type="dxa"/>
          </w:tcPr>
          <w:p w14:paraId="20C2F6A5" w14:textId="5CB2772A" w:rsidR="00F35C56" w:rsidRPr="0069556F" w:rsidRDefault="009D0FBD" w:rsidP="00480831">
            <w:pPr>
              <w:pStyle w:val="StandardBlock"/>
              <w:jc w:val="left"/>
            </w:pPr>
            <w:r>
              <w:t>a</w:t>
            </w:r>
            <w:r w:rsidRPr="0069556F">
              <w:t xml:space="preserve">lle </w:t>
            </w:r>
            <w:proofErr w:type="gramStart"/>
            <w:r w:rsidR="00F35C56" w:rsidRPr="0069556F">
              <w:t>Pi  &gt;</w:t>
            </w:r>
            <w:proofErr w:type="gramEnd"/>
            <w:r w:rsidR="00F35C56" w:rsidRPr="0069556F">
              <w:t>= 1</w:t>
            </w:r>
          </w:p>
        </w:tc>
        <w:tc>
          <w:tcPr>
            <w:tcW w:w="1823" w:type="dxa"/>
            <w:vMerge/>
            <w:vAlign w:val="center"/>
          </w:tcPr>
          <w:p w14:paraId="20C2F6A6" w14:textId="77777777" w:rsidR="00F35C56" w:rsidRPr="0069556F" w:rsidRDefault="00F35C56" w:rsidP="00480831">
            <w:pPr>
              <w:pStyle w:val="StandardBlock"/>
              <w:jc w:val="center"/>
            </w:pPr>
          </w:p>
        </w:tc>
        <w:tc>
          <w:tcPr>
            <w:tcW w:w="2809" w:type="dxa"/>
            <w:vMerge/>
            <w:vAlign w:val="center"/>
          </w:tcPr>
          <w:p w14:paraId="20C2F6A7" w14:textId="77777777" w:rsidR="00F35C56" w:rsidRPr="0069556F" w:rsidRDefault="00F35C56" w:rsidP="00480831">
            <w:pPr>
              <w:pStyle w:val="StandardBlock"/>
              <w:jc w:val="center"/>
            </w:pPr>
          </w:p>
        </w:tc>
      </w:tr>
      <w:tr w:rsidR="00F35C56" w:rsidRPr="0069556F" w14:paraId="20C2F6AE" w14:textId="77777777" w:rsidTr="00480831">
        <w:tc>
          <w:tcPr>
            <w:tcW w:w="851" w:type="dxa"/>
          </w:tcPr>
          <w:p w14:paraId="20C2F6A9" w14:textId="77777777" w:rsidR="00F35C56" w:rsidRPr="0069556F" w:rsidRDefault="00F35C56" w:rsidP="00480831">
            <w:pPr>
              <w:pStyle w:val="StandardBlock"/>
            </w:pPr>
            <w:r w:rsidRPr="0069556F">
              <w:t>B</w:t>
            </w:r>
          </w:p>
        </w:tc>
        <w:tc>
          <w:tcPr>
            <w:tcW w:w="2307" w:type="dxa"/>
          </w:tcPr>
          <w:p w14:paraId="20C2F6AA" w14:textId="37F06C61" w:rsidR="00F35C56" w:rsidRPr="00CF57BF" w:rsidRDefault="00F35C56" w:rsidP="00472A47">
            <w:pPr>
              <w:pStyle w:val="StandardBlock"/>
              <w:jc w:val="left"/>
              <w:rPr>
                <w:color w:val="00B050"/>
                <w:lang w:val="en-US"/>
              </w:rPr>
            </w:pPr>
            <w:r w:rsidRPr="0069556F">
              <w:rPr>
                <w:lang w:val="en-US"/>
              </w:rPr>
              <w:t>MAN.3, ACQ.4, SUP.1, SUP.8 – SUP.10</w:t>
            </w:r>
            <w:r w:rsidR="00CF57BF">
              <w:rPr>
                <w:lang w:val="en-US"/>
              </w:rPr>
              <w:br/>
            </w:r>
            <w:r w:rsidR="00CF57BF" w:rsidRPr="00911856">
              <w:rPr>
                <w:color w:val="008000"/>
                <w:lang w:val="en-US"/>
              </w:rPr>
              <w:t>SYS.2 – SYS.5</w:t>
            </w:r>
            <w:r w:rsidR="00CF57BF" w:rsidRPr="00911856">
              <w:rPr>
                <w:color w:val="008000"/>
                <w:lang w:val="en-US"/>
              </w:rPr>
              <w:br/>
              <w:t>SWE.1 – SWE.6</w:t>
            </w:r>
          </w:p>
        </w:tc>
        <w:tc>
          <w:tcPr>
            <w:tcW w:w="1927" w:type="dxa"/>
          </w:tcPr>
          <w:p w14:paraId="20C2F6AB" w14:textId="77777777" w:rsidR="00F35C56" w:rsidRPr="0069556F" w:rsidRDefault="009D0FBD" w:rsidP="00480831">
            <w:pPr>
              <w:pStyle w:val="StandardBlock"/>
              <w:jc w:val="left"/>
            </w:pPr>
            <w:r>
              <w:t>a</w:t>
            </w:r>
            <w:r w:rsidRPr="0069556F">
              <w:t xml:space="preserve">lle </w:t>
            </w:r>
            <w:proofErr w:type="gramStart"/>
            <w:r w:rsidR="00F35C56" w:rsidRPr="0069556F">
              <w:t>Pi  &gt;</w:t>
            </w:r>
            <w:proofErr w:type="gramEnd"/>
            <w:r w:rsidR="00F35C56" w:rsidRPr="0069556F">
              <w:t>= 1 und  mindestens ein Pi  &lt; 2</w:t>
            </w:r>
          </w:p>
        </w:tc>
        <w:tc>
          <w:tcPr>
            <w:tcW w:w="1823" w:type="dxa"/>
            <w:vAlign w:val="center"/>
          </w:tcPr>
          <w:p w14:paraId="20C2F6AC" w14:textId="77777777" w:rsidR="00F35C56" w:rsidRPr="0069556F" w:rsidRDefault="00F35C56" w:rsidP="00480831">
            <w:pPr>
              <w:pStyle w:val="StandardBlock"/>
              <w:jc w:val="center"/>
            </w:pPr>
            <w:r w:rsidRPr="0069556F">
              <w:t>unter bestimmten Bedingungen qualitätsfähig</w:t>
            </w:r>
          </w:p>
        </w:tc>
        <w:tc>
          <w:tcPr>
            <w:tcW w:w="2809" w:type="dxa"/>
            <w:vAlign w:val="center"/>
          </w:tcPr>
          <w:p w14:paraId="20C2F6AD" w14:textId="77777777" w:rsidR="00F35C56" w:rsidRPr="0069556F" w:rsidRDefault="00F35C56" w:rsidP="00480831">
            <w:pPr>
              <w:pStyle w:val="StandardBlock"/>
              <w:jc w:val="center"/>
            </w:pPr>
            <w:r w:rsidRPr="0069556F">
              <w:t>Realisierung eines Verbesserungsprogramms</w:t>
            </w:r>
          </w:p>
        </w:tc>
      </w:tr>
      <w:tr w:rsidR="00F35C56" w14:paraId="20C2F6BF" w14:textId="77777777" w:rsidTr="00480831">
        <w:tc>
          <w:tcPr>
            <w:tcW w:w="851" w:type="dxa"/>
          </w:tcPr>
          <w:p w14:paraId="20C2F6BA" w14:textId="77777777" w:rsidR="00F35C56" w:rsidRPr="0069556F" w:rsidRDefault="00F35C56" w:rsidP="0069556F">
            <w:pPr>
              <w:pStyle w:val="StandardBlock"/>
              <w:jc w:val="left"/>
            </w:pPr>
            <w:r w:rsidRPr="0069556F">
              <w:t>C</w:t>
            </w:r>
          </w:p>
        </w:tc>
        <w:tc>
          <w:tcPr>
            <w:tcW w:w="2307" w:type="dxa"/>
          </w:tcPr>
          <w:p w14:paraId="20C2F6BB" w14:textId="77777777" w:rsidR="00F35C56" w:rsidRPr="0069556F" w:rsidRDefault="00F35C56" w:rsidP="00480831">
            <w:pPr>
              <w:pStyle w:val="StandardBlock"/>
              <w:jc w:val="left"/>
            </w:pPr>
            <w:r w:rsidRPr="0069556F">
              <w:t>alle Prozesse</w:t>
            </w:r>
          </w:p>
        </w:tc>
        <w:tc>
          <w:tcPr>
            <w:tcW w:w="1927" w:type="dxa"/>
          </w:tcPr>
          <w:p w14:paraId="20C2F6BC" w14:textId="77777777" w:rsidR="00F35C56" w:rsidRPr="0069556F" w:rsidRDefault="009D0FBD" w:rsidP="00480831">
            <w:pPr>
              <w:pStyle w:val="StandardBlock"/>
              <w:jc w:val="left"/>
            </w:pPr>
            <w:r>
              <w:t>m</w:t>
            </w:r>
            <w:r w:rsidRPr="0069556F">
              <w:t>indestens</w:t>
            </w:r>
            <w:r w:rsidR="00F35C56" w:rsidRPr="0069556F">
              <w:br/>
              <w:t>ein Pi = 0</w:t>
            </w:r>
          </w:p>
        </w:tc>
        <w:tc>
          <w:tcPr>
            <w:tcW w:w="1823" w:type="dxa"/>
            <w:vAlign w:val="center"/>
          </w:tcPr>
          <w:p w14:paraId="20C2F6BD" w14:textId="77777777" w:rsidR="00F35C56" w:rsidRPr="0069556F" w:rsidRDefault="00F35C56" w:rsidP="00480831">
            <w:pPr>
              <w:pStyle w:val="StandardBlock"/>
              <w:jc w:val="center"/>
            </w:pPr>
            <w:r w:rsidRPr="0069556F">
              <w:t>n i c h t qualitätsfähig</w:t>
            </w:r>
          </w:p>
        </w:tc>
        <w:tc>
          <w:tcPr>
            <w:tcW w:w="2809" w:type="dxa"/>
            <w:vAlign w:val="center"/>
          </w:tcPr>
          <w:p w14:paraId="20C2F6BE" w14:textId="0CE2FBA6" w:rsidR="00F35C56" w:rsidRDefault="00F35C56" w:rsidP="00480831">
            <w:pPr>
              <w:pStyle w:val="StandardBlock"/>
              <w:jc w:val="center"/>
            </w:pPr>
            <w:r w:rsidRPr="0069556F">
              <w:t xml:space="preserve">Sofortmaßnahmen </w:t>
            </w:r>
            <w:r w:rsidR="00CF57BF" w:rsidRPr="00911856">
              <w:rPr>
                <w:color w:val="008000"/>
              </w:rPr>
              <w:t xml:space="preserve">und </w:t>
            </w:r>
            <w:r w:rsidRPr="0069556F">
              <w:t>Realisierung eines Verbesserungsprogramms</w:t>
            </w:r>
          </w:p>
        </w:tc>
      </w:tr>
    </w:tbl>
    <w:p w14:paraId="20C2F6C0" w14:textId="77777777" w:rsidR="000D63B8" w:rsidRDefault="000D63B8" w:rsidP="000D63B8">
      <w:pPr>
        <w:pStyle w:val="StandardBlock"/>
      </w:pPr>
    </w:p>
    <w:sectPr w:rsidR="000D63B8" w:rsidSect="009A31A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06" w:bottom="1247" w:left="119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FFF55" w14:textId="77777777" w:rsidR="009B0729" w:rsidRDefault="009B0729">
      <w:r>
        <w:separator/>
      </w:r>
    </w:p>
  </w:endnote>
  <w:endnote w:type="continuationSeparator" w:id="0">
    <w:p w14:paraId="0FCB22D5" w14:textId="77777777" w:rsidR="009B0729" w:rsidRDefault="009B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F6D1" w14:textId="77777777" w:rsidR="00D427FE" w:rsidRPr="00AB0E8D" w:rsidRDefault="00D427FE">
    <w:pPr>
      <w:pStyle w:val="Kopfzeile"/>
      <w:tabs>
        <w:tab w:val="clear" w:pos="9072"/>
        <w:tab w:val="left" w:pos="4536"/>
      </w:tabs>
      <w:rPr>
        <w:sz w:val="4"/>
        <w:szCs w:val="4"/>
      </w:rPr>
    </w:pPr>
  </w:p>
  <w:tbl>
    <w:tblPr>
      <w:tblW w:w="9707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712"/>
      <w:gridCol w:w="2948"/>
    </w:tblGrid>
    <w:tr w:rsidR="00D427FE" w14:paraId="20C2F6D9" w14:textId="77777777" w:rsidTr="00E87EF8">
      <w:trPr>
        <w:trHeight w:val="584"/>
      </w:trPr>
      <w:tc>
        <w:tcPr>
          <w:tcW w:w="3047" w:type="dxa"/>
        </w:tcPr>
        <w:p w14:paraId="20C2F6D2" w14:textId="77777777" w:rsidR="00D427FE" w:rsidRPr="006E39E4" w:rsidRDefault="00E87EF8" w:rsidP="00AF17F4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Qualitätssicherungsvereinbarung mit Softwarelieferanten – Anlage 1</w:t>
          </w:r>
          <w:r>
            <w:rPr>
              <w:sz w:val="16"/>
              <w:szCs w:val="16"/>
            </w:rPr>
            <w:br/>
            <w:t>Durchführung und Bewertung Prozessassessment</w:t>
          </w:r>
        </w:p>
      </w:tc>
      <w:tc>
        <w:tcPr>
          <w:tcW w:w="3712" w:type="dxa"/>
        </w:tcPr>
        <w:p w14:paraId="20C2F6D3" w14:textId="77777777" w:rsidR="00F35C56" w:rsidRDefault="00F35C5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napToGrid w:val="0"/>
              <w:sz w:val="16"/>
              <w:szCs w:val="16"/>
            </w:rPr>
          </w:pPr>
        </w:p>
        <w:p w14:paraId="20C2F6D4" w14:textId="77777777" w:rsidR="00F35C56" w:rsidRDefault="00F35C5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napToGrid w:val="0"/>
              <w:sz w:val="16"/>
              <w:szCs w:val="16"/>
            </w:rPr>
          </w:pPr>
        </w:p>
        <w:p w14:paraId="20C2F6D5" w14:textId="77777777" w:rsidR="00D427FE" w:rsidRPr="006E39E4" w:rsidRDefault="00D427FE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6"/>
              <w:szCs w:val="16"/>
            </w:rPr>
          </w:pPr>
          <w:r w:rsidRPr="006E39E4">
            <w:rPr>
              <w:snapToGrid w:val="0"/>
              <w:sz w:val="16"/>
              <w:szCs w:val="16"/>
            </w:rPr>
            <w:t xml:space="preserve">Seite </w:t>
          </w:r>
          <w:r w:rsidR="007B13A5" w:rsidRPr="006E39E4">
            <w:rPr>
              <w:snapToGrid w:val="0"/>
              <w:sz w:val="16"/>
              <w:szCs w:val="16"/>
            </w:rPr>
            <w:fldChar w:fldCharType="begin"/>
          </w:r>
          <w:r w:rsidRPr="006E39E4">
            <w:rPr>
              <w:snapToGrid w:val="0"/>
              <w:sz w:val="16"/>
              <w:szCs w:val="16"/>
            </w:rPr>
            <w:instrText xml:space="preserve"> PAGE </w:instrText>
          </w:r>
          <w:r w:rsidR="007B13A5" w:rsidRPr="006E39E4">
            <w:rPr>
              <w:snapToGrid w:val="0"/>
              <w:sz w:val="16"/>
              <w:szCs w:val="16"/>
            </w:rPr>
            <w:fldChar w:fldCharType="separate"/>
          </w:r>
          <w:r w:rsidR="00F759E9">
            <w:rPr>
              <w:noProof/>
              <w:snapToGrid w:val="0"/>
              <w:sz w:val="16"/>
              <w:szCs w:val="16"/>
            </w:rPr>
            <w:t>2</w:t>
          </w:r>
          <w:r w:rsidR="007B13A5" w:rsidRPr="006E39E4">
            <w:rPr>
              <w:snapToGrid w:val="0"/>
              <w:sz w:val="16"/>
              <w:szCs w:val="16"/>
            </w:rPr>
            <w:fldChar w:fldCharType="end"/>
          </w:r>
          <w:r w:rsidRPr="006E39E4">
            <w:rPr>
              <w:snapToGrid w:val="0"/>
              <w:sz w:val="16"/>
              <w:szCs w:val="16"/>
            </w:rPr>
            <w:t xml:space="preserve"> von </w:t>
          </w:r>
          <w:r w:rsidR="007B13A5" w:rsidRPr="006E39E4">
            <w:rPr>
              <w:snapToGrid w:val="0"/>
              <w:sz w:val="16"/>
              <w:szCs w:val="16"/>
            </w:rPr>
            <w:fldChar w:fldCharType="begin"/>
          </w:r>
          <w:r w:rsidRPr="006E39E4">
            <w:rPr>
              <w:snapToGrid w:val="0"/>
              <w:sz w:val="16"/>
              <w:szCs w:val="16"/>
            </w:rPr>
            <w:instrText xml:space="preserve"> NUMPAGES </w:instrText>
          </w:r>
          <w:r w:rsidR="007B13A5" w:rsidRPr="006E39E4">
            <w:rPr>
              <w:snapToGrid w:val="0"/>
              <w:sz w:val="16"/>
              <w:szCs w:val="16"/>
            </w:rPr>
            <w:fldChar w:fldCharType="separate"/>
          </w:r>
          <w:r w:rsidR="00F759E9">
            <w:rPr>
              <w:noProof/>
              <w:snapToGrid w:val="0"/>
              <w:sz w:val="16"/>
              <w:szCs w:val="16"/>
            </w:rPr>
            <w:t>2</w:t>
          </w:r>
          <w:r w:rsidR="007B13A5" w:rsidRPr="006E39E4"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2948" w:type="dxa"/>
        </w:tcPr>
        <w:p w14:paraId="20C2F6D6" w14:textId="77777777" w:rsidR="00F35C56" w:rsidRDefault="00F35C56" w:rsidP="00F35C5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</w:rPr>
          </w:pPr>
        </w:p>
        <w:p w14:paraId="20C2F6D7" w14:textId="77777777" w:rsidR="00F35C56" w:rsidRDefault="00F35C56" w:rsidP="00F35C5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</w:rPr>
          </w:pPr>
        </w:p>
        <w:p w14:paraId="20C2F6D8" w14:textId="3F9BFB83" w:rsidR="00D427FE" w:rsidRPr="006E39E4" w:rsidRDefault="00D40BB4" w:rsidP="00170E59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Ausgabe: </w:t>
          </w:r>
          <w:r w:rsidR="00963EA8" w:rsidRPr="00963EA8">
            <w:rPr>
              <w:color w:val="008000"/>
              <w:sz w:val="16"/>
              <w:szCs w:val="16"/>
            </w:rPr>
            <w:t>2021-03-25</w:t>
          </w:r>
        </w:p>
      </w:tc>
    </w:tr>
  </w:tbl>
  <w:p w14:paraId="20C2F6DA" w14:textId="77777777" w:rsidR="00D427FE" w:rsidRDefault="00D427FE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F6E2" w14:textId="77777777" w:rsidR="00F35C56" w:rsidRDefault="00F35C56"/>
  <w:tbl>
    <w:tblPr>
      <w:tblW w:w="961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2948"/>
    </w:tblGrid>
    <w:tr w:rsidR="00D427FE" w14:paraId="20C2F6E6" w14:textId="77777777" w:rsidTr="00F35C56">
      <w:tc>
        <w:tcPr>
          <w:tcW w:w="3331" w:type="dxa"/>
        </w:tcPr>
        <w:p w14:paraId="20C2F6E3" w14:textId="77777777" w:rsidR="00D427FE" w:rsidRPr="00DE2FC1" w:rsidRDefault="00F54646" w:rsidP="00F5464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Qualitätssicherungsvereinbarung mit Softwarelieferanten</w:t>
          </w:r>
          <w:r w:rsidR="00D427FE">
            <w:rPr>
              <w:sz w:val="16"/>
              <w:szCs w:val="16"/>
            </w:rPr>
            <w:t xml:space="preserve"> </w:t>
          </w:r>
          <w:r w:rsidR="00F35C56">
            <w:rPr>
              <w:sz w:val="16"/>
              <w:szCs w:val="16"/>
            </w:rPr>
            <w:t>– Anlage 1</w:t>
          </w:r>
          <w:r w:rsidR="00F35C56">
            <w:rPr>
              <w:sz w:val="16"/>
              <w:szCs w:val="16"/>
            </w:rPr>
            <w:br/>
            <w:t>Durchführung und Bewertung Prozessassessment</w:t>
          </w:r>
        </w:p>
      </w:tc>
      <w:tc>
        <w:tcPr>
          <w:tcW w:w="3331" w:type="dxa"/>
          <w:vAlign w:val="center"/>
        </w:tcPr>
        <w:p w14:paraId="20C2F6E4" w14:textId="77777777" w:rsidR="00D427FE" w:rsidRPr="00DE2FC1" w:rsidRDefault="00D427FE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6"/>
              <w:szCs w:val="16"/>
            </w:rPr>
          </w:pPr>
          <w:r w:rsidRPr="00DE2FC1">
            <w:rPr>
              <w:snapToGrid w:val="0"/>
              <w:sz w:val="16"/>
              <w:szCs w:val="16"/>
            </w:rPr>
            <w:t xml:space="preserve">Seite </w:t>
          </w:r>
          <w:r w:rsidR="007B13A5" w:rsidRPr="00DE2FC1">
            <w:rPr>
              <w:snapToGrid w:val="0"/>
              <w:sz w:val="16"/>
              <w:szCs w:val="16"/>
            </w:rPr>
            <w:fldChar w:fldCharType="begin"/>
          </w:r>
          <w:r w:rsidRPr="00DE2FC1">
            <w:rPr>
              <w:snapToGrid w:val="0"/>
              <w:sz w:val="16"/>
              <w:szCs w:val="16"/>
            </w:rPr>
            <w:instrText xml:space="preserve"> PAGE </w:instrText>
          </w:r>
          <w:r w:rsidR="007B13A5" w:rsidRPr="00DE2FC1">
            <w:rPr>
              <w:snapToGrid w:val="0"/>
              <w:sz w:val="16"/>
              <w:szCs w:val="16"/>
            </w:rPr>
            <w:fldChar w:fldCharType="separate"/>
          </w:r>
          <w:r w:rsidR="00F759E9">
            <w:rPr>
              <w:noProof/>
              <w:snapToGrid w:val="0"/>
              <w:sz w:val="16"/>
              <w:szCs w:val="16"/>
            </w:rPr>
            <w:t>1</w:t>
          </w:r>
          <w:r w:rsidR="007B13A5" w:rsidRPr="00DE2FC1">
            <w:rPr>
              <w:snapToGrid w:val="0"/>
              <w:sz w:val="16"/>
              <w:szCs w:val="16"/>
            </w:rPr>
            <w:fldChar w:fldCharType="end"/>
          </w:r>
          <w:r w:rsidRPr="00DE2FC1">
            <w:rPr>
              <w:snapToGrid w:val="0"/>
              <w:sz w:val="16"/>
              <w:szCs w:val="16"/>
            </w:rPr>
            <w:t xml:space="preserve"> von </w:t>
          </w:r>
          <w:r w:rsidR="007B13A5" w:rsidRPr="00DE2FC1">
            <w:rPr>
              <w:snapToGrid w:val="0"/>
              <w:sz w:val="16"/>
              <w:szCs w:val="16"/>
            </w:rPr>
            <w:fldChar w:fldCharType="begin"/>
          </w:r>
          <w:r w:rsidRPr="00DE2FC1">
            <w:rPr>
              <w:snapToGrid w:val="0"/>
              <w:sz w:val="16"/>
              <w:szCs w:val="16"/>
            </w:rPr>
            <w:instrText xml:space="preserve"> NUMPAGES </w:instrText>
          </w:r>
          <w:r w:rsidR="007B13A5" w:rsidRPr="00DE2FC1">
            <w:rPr>
              <w:snapToGrid w:val="0"/>
              <w:sz w:val="16"/>
              <w:szCs w:val="16"/>
            </w:rPr>
            <w:fldChar w:fldCharType="separate"/>
          </w:r>
          <w:r w:rsidR="00F759E9">
            <w:rPr>
              <w:noProof/>
              <w:snapToGrid w:val="0"/>
              <w:sz w:val="16"/>
              <w:szCs w:val="16"/>
            </w:rPr>
            <w:t>2</w:t>
          </w:r>
          <w:r w:rsidR="007B13A5" w:rsidRPr="00DE2FC1"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2948" w:type="dxa"/>
          <w:vAlign w:val="center"/>
        </w:tcPr>
        <w:p w14:paraId="20C2F6E5" w14:textId="562D2C1A" w:rsidR="00D427FE" w:rsidRPr="00DE2FC1" w:rsidRDefault="005A3693" w:rsidP="00170E59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Ausgabe:</w:t>
          </w:r>
          <w:r w:rsidR="00D40BB4">
            <w:rPr>
              <w:sz w:val="16"/>
              <w:szCs w:val="16"/>
            </w:rPr>
            <w:t xml:space="preserve"> </w:t>
          </w:r>
          <w:r w:rsidR="00170E59" w:rsidRPr="00B02F7D">
            <w:rPr>
              <w:color w:val="008000"/>
              <w:sz w:val="16"/>
              <w:szCs w:val="16"/>
            </w:rPr>
            <w:t>20</w:t>
          </w:r>
          <w:r w:rsidR="00911856" w:rsidRPr="00B02F7D">
            <w:rPr>
              <w:color w:val="008000"/>
              <w:sz w:val="16"/>
              <w:szCs w:val="16"/>
            </w:rPr>
            <w:t>21-</w:t>
          </w:r>
          <w:r w:rsidR="00911856" w:rsidRPr="00911856">
            <w:rPr>
              <w:color w:val="008000"/>
              <w:sz w:val="16"/>
              <w:szCs w:val="16"/>
            </w:rPr>
            <w:t>03-24</w:t>
          </w:r>
        </w:p>
      </w:tc>
    </w:tr>
  </w:tbl>
  <w:p w14:paraId="20C2F6E7" w14:textId="77777777" w:rsidR="00D427FE" w:rsidRDefault="009B0729">
    <w:pPr>
      <w:pStyle w:val="Fuzeile"/>
    </w:pPr>
    <w:r>
      <w:rPr>
        <w:noProof/>
        <w:lang w:eastAsia="zh-CN"/>
      </w:rPr>
      <w:pict w14:anchorId="20C2F6ED">
        <v:rect id="_x0000_s2053" style="position:absolute;margin-left:59.55pt;margin-top:805.05pt;width:54pt;height:36pt;z-index:1;mso-position-horizontal-relative:page;mso-position-vertical-relative:page" filled="f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F4C6D" w14:textId="77777777" w:rsidR="009B0729" w:rsidRDefault="009B0729">
      <w:r>
        <w:separator/>
      </w:r>
    </w:p>
  </w:footnote>
  <w:footnote w:type="continuationSeparator" w:id="0">
    <w:p w14:paraId="45D5D2A2" w14:textId="77777777" w:rsidR="009B0729" w:rsidRDefault="009B0729">
      <w:r>
        <w:continuationSeparator/>
      </w:r>
    </w:p>
  </w:footnote>
  <w:footnote w:id="1">
    <w:p w14:paraId="073BBB29" w14:textId="0F6C05C0" w:rsidR="00CE25AA" w:rsidRPr="00115AEA" w:rsidRDefault="00CE25AA">
      <w:pPr>
        <w:pStyle w:val="Funotentext"/>
        <w:rPr>
          <w:color w:val="008000"/>
        </w:rPr>
      </w:pPr>
      <w:r w:rsidRPr="00115AEA">
        <w:rPr>
          <w:rStyle w:val="Funotenzeichen"/>
          <w:color w:val="008000"/>
        </w:rPr>
        <w:footnoteRef/>
      </w:r>
      <w:r w:rsidRPr="00115AEA">
        <w:rPr>
          <w:color w:val="008000"/>
        </w:rPr>
        <w:t xml:space="preserve"> Nur für Automotive Lieferanten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F6C7" w14:textId="037B7371" w:rsidR="00D427FE" w:rsidRDefault="00D427FE">
    <w:pPr>
      <w:pStyle w:val="Kopfzeile"/>
    </w:pPr>
    <w:r>
      <w:t xml:space="preserve">Seite </w:t>
    </w:r>
    <w:r w:rsidR="00CE25AA">
      <w:fldChar w:fldCharType="begin"/>
    </w:r>
    <w:r w:rsidR="00CE25AA">
      <w:instrText xml:space="preserve"> PAGE \* MERGEFORMAT </w:instrText>
    </w:r>
    <w:r w:rsidR="00CE25AA">
      <w:fldChar w:fldCharType="separate"/>
    </w:r>
    <w:r w:rsidR="00F759E9">
      <w:rPr>
        <w:noProof/>
      </w:rPr>
      <w:t>2</w:t>
    </w:r>
    <w:r w:rsidR="00CE25AA">
      <w:rPr>
        <w:noProof/>
      </w:rPr>
      <w:fldChar w:fldCharType="end"/>
    </w:r>
  </w:p>
  <w:p w14:paraId="20C2F6C8" w14:textId="058268EF" w:rsidR="00D427FE" w:rsidRDefault="00D427FE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>
      <w:t xml:space="preserve">  Kopf wie Deckblatt, d. h. Logos + </w:t>
    </w:r>
    <w:proofErr w:type="gramStart"/>
    <w:r>
      <w:t>Referenzdokumente  ------</w:t>
    </w:r>
    <w:proofErr w:type="gramEnd"/>
    <w:r>
      <w:t xml:space="preserve">gilt für alle folgenden Seiten!  </w:t>
    </w:r>
    <w:r w:rsidR="007B13A5">
      <w:fldChar w:fldCharType="begin"/>
    </w:r>
    <w:r>
      <w:instrText xml:space="preserve"> REF Datum \h </w:instrText>
    </w:r>
    <w:r w:rsidR="007B13A5">
      <w:fldChar w:fldCharType="separate"/>
    </w:r>
    <w:r w:rsidR="00A03CC5">
      <w:rPr>
        <w:b/>
        <w:bCs/>
      </w:rPr>
      <w:t>Fehler! Verweisquelle konnte nicht gefunden werden.</w:t>
    </w:r>
    <w:r w:rsidR="007B13A5">
      <w:fldChar w:fldCharType="end"/>
    </w:r>
  </w:p>
  <w:p w14:paraId="20C2F6C9" w14:textId="77777777" w:rsidR="00D427FE" w:rsidRDefault="00D427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D427FE" w14:paraId="20C2F6CC" w14:textId="77777777" w:rsidTr="00204A0A">
      <w:trPr>
        <w:trHeight w:val="495"/>
      </w:trPr>
      <w:tc>
        <w:tcPr>
          <w:tcW w:w="1690" w:type="dxa"/>
          <w:vMerge w:val="restart"/>
        </w:tcPr>
        <w:p w14:paraId="20C2F6CA" w14:textId="320862DC" w:rsidR="00D427FE" w:rsidRDefault="00D427FE" w:rsidP="00695BE5">
          <w:pPr>
            <w:pStyle w:val="Titel"/>
            <w:spacing w:before="120"/>
          </w:pPr>
        </w:p>
      </w:tc>
      <w:tc>
        <w:tcPr>
          <w:tcW w:w="8100" w:type="dxa"/>
        </w:tcPr>
        <w:p w14:paraId="20C2F6CB" w14:textId="77777777" w:rsidR="00D427FE" w:rsidRDefault="009B0729" w:rsidP="00204A0A">
          <w:pPr>
            <w:pStyle w:val="Kopfzeile"/>
            <w:jc w:val="right"/>
          </w:pPr>
          <w:r>
            <w:rPr>
              <w:noProof/>
            </w:rPr>
            <w:pict w14:anchorId="20C2F6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chaeffler_35" o:spid="_x0000_s2060" type="#_x0000_t75" style="position:absolute;left:0;text-align:left;margin-left:299.7pt;margin-top:7.35pt;width:99.65pt;height:10.9pt;z-index:2;visibility:visible;mso-position-horizontal-relative:page;mso-position-vertical-relative:page">
                <v:imagedata r:id="rId1" o:title="Schaeffler_35mm"/>
                <w10:wrap anchorx="page" anchory="page"/>
              </v:shape>
            </w:pict>
          </w:r>
        </w:p>
      </w:tc>
    </w:tr>
    <w:tr w:rsidR="00D427FE" w14:paraId="20C2F6CF" w14:textId="77777777" w:rsidTr="00204A0A">
      <w:trPr>
        <w:trHeight w:val="495"/>
      </w:trPr>
      <w:tc>
        <w:tcPr>
          <w:tcW w:w="1690" w:type="dxa"/>
          <w:vMerge/>
        </w:tcPr>
        <w:p w14:paraId="20C2F6CD" w14:textId="77777777" w:rsidR="00D427FE" w:rsidRDefault="00D427FE" w:rsidP="00695BE5">
          <w:pPr>
            <w:pStyle w:val="Titel"/>
            <w:spacing w:before="120"/>
            <w:rPr>
              <w:noProof/>
            </w:rPr>
          </w:pPr>
        </w:p>
      </w:tc>
      <w:tc>
        <w:tcPr>
          <w:tcW w:w="8100" w:type="dxa"/>
          <w:vAlign w:val="center"/>
        </w:tcPr>
        <w:p w14:paraId="20C2F6CE" w14:textId="77777777" w:rsidR="00D427FE" w:rsidRDefault="00D427FE" w:rsidP="00AF17F4">
          <w:pPr>
            <w:pStyle w:val="Kopfzeile"/>
            <w:jc w:val="right"/>
          </w:pPr>
          <w:r w:rsidRPr="006B5E7B">
            <w:rPr>
              <w:b/>
              <w:sz w:val="18"/>
              <w:szCs w:val="18"/>
            </w:rPr>
            <w:t xml:space="preserve">Qualitätssicherungsvereinbarung mit </w:t>
          </w:r>
          <w:r w:rsidR="00AF17F4">
            <w:rPr>
              <w:b/>
              <w:sz w:val="18"/>
              <w:szCs w:val="18"/>
            </w:rPr>
            <w:t>Software</w:t>
          </w:r>
          <w:r>
            <w:rPr>
              <w:b/>
              <w:sz w:val="18"/>
              <w:szCs w:val="18"/>
            </w:rPr>
            <w:t>l</w:t>
          </w:r>
          <w:r w:rsidRPr="006B5E7B">
            <w:rPr>
              <w:b/>
              <w:sz w:val="18"/>
              <w:szCs w:val="18"/>
            </w:rPr>
            <w:t>ieferanten</w:t>
          </w:r>
        </w:p>
      </w:tc>
    </w:tr>
  </w:tbl>
  <w:p w14:paraId="20C2F6D0" w14:textId="77777777" w:rsidR="00D427FE" w:rsidRPr="009A31AF" w:rsidRDefault="00D427FE" w:rsidP="00AB0E8D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D427FE" w14:paraId="20C2F6DD" w14:textId="77777777" w:rsidTr="00647ADE">
      <w:trPr>
        <w:trHeight w:val="495"/>
      </w:trPr>
      <w:tc>
        <w:tcPr>
          <w:tcW w:w="1690" w:type="dxa"/>
          <w:vMerge w:val="restart"/>
        </w:tcPr>
        <w:p w14:paraId="20C2F6DB" w14:textId="4220E845" w:rsidR="00D427FE" w:rsidRDefault="00D427FE" w:rsidP="00647ADE">
          <w:pPr>
            <w:pStyle w:val="Titel"/>
            <w:spacing w:before="120"/>
          </w:pPr>
        </w:p>
      </w:tc>
      <w:tc>
        <w:tcPr>
          <w:tcW w:w="8100" w:type="dxa"/>
        </w:tcPr>
        <w:p w14:paraId="20C2F6DC" w14:textId="77777777" w:rsidR="00D427FE" w:rsidRDefault="00D427FE" w:rsidP="00647ADE">
          <w:pPr>
            <w:pStyle w:val="Kopfzeile"/>
            <w:jc w:val="right"/>
          </w:pPr>
        </w:p>
      </w:tc>
    </w:tr>
    <w:tr w:rsidR="00D427FE" w14:paraId="20C2F6E0" w14:textId="77777777" w:rsidTr="00647ADE">
      <w:trPr>
        <w:trHeight w:val="495"/>
      </w:trPr>
      <w:tc>
        <w:tcPr>
          <w:tcW w:w="1690" w:type="dxa"/>
          <w:vMerge/>
        </w:tcPr>
        <w:p w14:paraId="20C2F6DE" w14:textId="77777777" w:rsidR="00D427FE" w:rsidRDefault="00D427FE" w:rsidP="00647ADE">
          <w:pPr>
            <w:pStyle w:val="Titel"/>
            <w:spacing w:before="120"/>
            <w:rPr>
              <w:noProof/>
            </w:rPr>
          </w:pPr>
        </w:p>
      </w:tc>
      <w:tc>
        <w:tcPr>
          <w:tcW w:w="8100" w:type="dxa"/>
          <w:vAlign w:val="center"/>
        </w:tcPr>
        <w:p w14:paraId="20C2F6DF" w14:textId="77777777" w:rsidR="00D427FE" w:rsidRDefault="00D427FE" w:rsidP="00647ADE">
          <w:pPr>
            <w:pStyle w:val="Kopfzeile"/>
            <w:jc w:val="right"/>
          </w:pPr>
        </w:p>
      </w:tc>
    </w:tr>
  </w:tbl>
  <w:p w14:paraId="20C2F6E1" w14:textId="77777777" w:rsidR="00D427FE" w:rsidRPr="009A31AF" w:rsidRDefault="00D427FE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0FC"/>
    <w:multiLevelType w:val="multilevel"/>
    <w:tmpl w:val="37808E04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941"/>
    <w:multiLevelType w:val="hybridMultilevel"/>
    <w:tmpl w:val="8E84E6DA"/>
    <w:lvl w:ilvl="0" w:tplc="7464A532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19B"/>
    <w:multiLevelType w:val="hybridMultilevel"/>
    <w:tmpl w:val="8A88EB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53D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042E1A"/>
    <w:multiLevelType w:val="multilevel"/>
    <w:tmpl w:val="C726867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5C7B24"/>
    <w:multiLevelType w:val="multilevel"/>
    <w:tmpl w:val="CDE8D68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9333FDB"/>
    <w:multiLevelType w:val="hybridMultilevel"/>
    <w:tmpl w:val="C726867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BB07F5"/>
    <w:multiLevelType w:val="hybridMultilevel"/>
    <w:tmpl w:val="E05483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51FFD"/>
    <w:multiLevelType w:val="hybridMultilevel"/>
    <w:tmpl w:val="EC589E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A461F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7C34D09"/>
    <w:multiLevelType w:val="hybridMultilevel"/>
    <w:tmpl w:val="598CB63A"/>
    <w:lvl w:ilvl="0" w:tplc="796C7F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597E971E">
      <w:start w:val="1"/>
      <w:numFmt w:val="bullet"/>
      <w:lvlText w:val=""/>
      <w:lvlJc w:val="left"/>
      <w:pPr>
        <w:tabs>
          <w:tab w:val="num" w:pos="567"/>
        </w:tabs>
        <w:ind w:left="-567" w:firstLine="113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546A"/>
    <w:multiLevelType w:val="singleLevel"/>
    <w:tmpl w:val="FC6A157C"/>
    <w:lvl w:ilvl="0">
      <w:start w:val="1"/>
      <w:numFmt w:val="bullet"/>
      <w:lvlText w:val=""/>
      <w:lvlJc w:val="left"/>
      <w:pPr>
        <w:tabs>
          <w:tab w:val="num" w:pos="700"/>
        </w:tabs>
        <w:ind w:left="567" w:hanging="227"/>
      </w:pPr>
      <w:rPr>
        <w:rFonts w:ascii="Symbol" w:hAnsi="Symbol" w:hint="default"/>
        <w:sz w:val="16"/>
      </w:rPr>
    </w:lvl>
  </w:abstractNum>
  <w:abstractNum w:abstractNumId="12" w15:restartNumberingAfterBreak="0">
    <w:nsid w:val="4B6A64D8"/>
    <w:multiLevelType w:val="multilevel"/>
    <w:tmpl w:val="44E8E32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FF52C26"/>
    <w:multiLevelType w:val="multilevel"/>
    <w:tmpl w:val="BD388CDE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D52BF"/>
    <w:multiLevelType w:val="hybridMultilevel"/>
    <w:tmpl w:val="11DC996A"/>
    <w:lvl w:ilvl="0" w:tplc="EACC55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4A59EF"/>
    <w:multiLevelType w:val="hybridMultilevel"/>
    <w:tmpl w:val="D3D41E52"/>
    <w:lvl w:ilvl="0" w:tplc="27F8C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6D51"/>
    <w:multiLevelType w:val="hybridMultilevel"/>
    <w:tmpl w:val="3BC0B93E"/>
    <w:lvl w:ilvl="0" w:tplc="EC66903A">
      <w:start w:val="1"/>
      <w:numFmt w:val="bullet"/>
      <w:pStyle w:val="AufzhlungmitPunk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C09B1"/>
    <w:multiLevelType w:val="multilevel"/>
    <w:tmpl w:val="7BE09CC0"/>
    <w:lvl w:ilvl="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A3A0B"/>
    <w:multiLevelType w:val="hybridMultilevel"/>
    <w:tmpl w:val="F21E281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9276B4"/>
    <w:multiLevelType w:val="hybridMultilevel"/>
    <w:tmpl w:val="1A626BEE"/>
    <w:lvl w:ilvl="0" w:tplc="2BE678A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2483C4F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18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D6F1837"/>
    <w:multiLevelType w:val="hybridMultilevel"/>
    <w:tmpl w:val="DF742816"/>
    <w:lvl w:ilvl="0" w:tplc="121ADDB2">
      <w:start w:val="1"/>
      <w:numFmt w:val="bullet"/>
      <w:lvlText w:val="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308D4"/>
    <w:multiLevelType w:val="multilevel"/>
    <w:tmpl w:val="FDFA0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E0521"/>
    <w:multiLevelType w:val="hybridMultilevel"/>
    <w:tmpl w:val="F506A3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2CA8"/>
    <w:multiLevelType w:val="hybridMultilevel"/>
    <w:tmpl w:val="25CA0F36"/>
    <w:lvl w:ilvl="0" w:tplc="0B0648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D4110"/>
    <w:multiLevelType w:val="multilevel"/>
    <w:tmpl w:val="3F5883D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40"/>
        </w:tabs>
        <w:ind w:left="18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4"/>
  </w:num>
  <w:num w:numId="5">
    <w:abstractNumId w:val="19"/>
  </w:num>
  <w:num w:numId="6">
    <w:abstractNumId w:val="12"/>
  </w:num>
  <w:num w:numId="7">
    <w:abstractNumId w:val="15"/>
  </w:num>
  <w:num w:numId="8">
    <w:abstractNumId w:val="18"/>
  </w:num>
  <w:num w:numId="9">
    <w:abstractNumId w:val="23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 w:numId="14">
    <w:abstractNumId w:val="22"/>
  </w:num>
  <w:num w:numId="15">
    <w:abstractNumId w:val="21"/>
  </w:num>
  <w:num w:numId="16">
    <w:abstractNumId w:val="0"/>
  </w:num>
  <w:num w:numId="17">
    <w:abstractNumId w:val="1"/>
  </w:num>
  <w:num w:numId="18">
    <w:abstractNumId w:val="17"/>
  </w:num>
  <w:num w:numId="19">
    <w:abstractNumId w:val="24"/>
  </w:num>
  <w:num w:numId="20">
    <w:abstractNumId w:val="13"/>
  </w:num>
  <w:num w:numId="21">
    <w:abstractNumId w:val="16"/>
  </w:num>
  <w:num w:numId="22">
    <w:abstractNumId w:val="11"/>
  </w:num>
  <w:num w:numId="23">
    <w:abstractNumId w:val="9"/>
  </w:num>
  <w:num w:numId="24">
    <w:abstractNumId w:val="3"/>
  </w:num>
  <w:num w:numId="25">
    <w:abstractNumId w:val="20"/>
  </w:num>
  <w:num w:numId="26">
    <w:abstractNumId w:val="25"/>
  </w:num>
  <w:num w:numId="27">
    <w:abstractNumId w:val="25"/>
  </w:num>
  <w:num w:numId="28">
    <w:abstractNumId w:val="25"/>
  </w:num>
  <w:num w:numId="29">
    <w:abstractNumId w:val="8"/>
  </w:num>
  <w:num w:numId="30">
    <w:abstractNumId w:val="25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F0IxrGvRTosfL+sJuVDD+b1VVg1BFeNIqr7vsu9yO/1mNKJIN/jido6w68RwZLeJkNFwMlroBB/F187dHOF1mg==" w:salt="385IRz7K8DjzCMUq67p5Wg=="/>
  <w:defaultTabStop w:val="708"/>
  <w:hyphenationZone w:val="425"/>
  <w:characterSpacingControl w:val="doNotCompress"/>
  <w:hdrShapeDefaults>
    <o:shapedefaults v:ext="edit" spidmax="2061" style="mso-position-horizontal-relative:page;mso-position-vertical-relative:page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BE5"/>
    <w:rsid w:val="000023D2"/>
    <w:rsid w:val="00002FA3"/>
    <w:rsid w:val="00003F04"/>
    <w:rsid w:val="00007CA2"/>
    <w:rsid w:val="00010739"/>
    <w:rsid w:val="0002055C"/>
    <w:rsid w:val="000213E2"/>
    <w:rsid w:val="00021BEF"/>
    <w:rsid w:val="000237C3"/>
    <w:rsid w:val="00026A77"/>
    <w:rsid w:val="000443F6"/>
    <w:rsid w:val="0004456D"/>
    <w:rsid w:val="00047571"/>
    <w:rsid w:val="00047DE3"/>
    <w:rsid w:val="00050B9D"/>
    <w:rsid w:val="00053E1A"/>
    <w:rsid w:val="00054F88"/>
    <w:rsid w:val="00056D9A"/>
    <w:rsid w:val="00060717"/>
    <w:rsid w:val="00062A4B"/>
    <w:rsid w:val="00063710"/>
    <w:rsid w:val="0006409A"/>
    <w:rsid w:val="00066CAB"/>
    <w:rsid w:val="00070007"/>
    <w:rsid w:val="00073925"/>
    <w:rsid w:val="000739C3"/>
    <w:rsid w:val="000758CE"/>
    <w:rsid w:val="00077B8C"/>
    <w:rsid w:val="00082B00"/>
    <w:rsid w:val="00086195"/>
    <w:rsid w:val="00087DB6"/>
    <w:rsid w:val="00092BBF"/>
    <w:rsid w:val="000962CF"/>
    <w:rsid w:val="000A2343"/>
    <w:rsid w:val="000A2E27"/>
    <w:rsid w:val="000A46B5"/>
    <w:rsid w:val="000B3AC7"/>
    <w:rsid w:val="000C2A1D"/>
    <w:rsid w:val="000C594C"/>
    <w:rsid w:val="000C7F52"/>
    <w:rsid w:val="000D03B9"/>
    <w:rsid w:val="000D4325"/>
    <w:rsid w:val="000D5BB6"/>
    <w:rsid w:val="000D63B8"/>
    <w:rsid w:val="000D78BE"/>
    <w:rsid w:val="000E053B"/>
    <w:rsid w:val="000E0BC1"/>
    <w:rsid w:val="000E2F34"/>
    <w:rsid w:val="000E434C"/>
    <w:rsid w:val="000E460C"/>
    <w:rsid w:val="000E4D46"/>
    <w:rsid w:val="000E6AAB"/>
    <w:rsid w:val="000E7CC7"/>
    <w:rsid w:val="000F2DC8"/>
    <w:rsid w:val="000F74CB"/>
    <w:rsid w:val="0010138B"/>
    <w:rsid w:val="001036F7"/>
    <w:rsid w:val="00104847"/>
    <w:rsid w:val="001071D6"/>
    <w:rsid w:val="00107A2C"/>
    <w:rsid w:val="00111773"/>
    <w:rsid w:val="001145DD"/>
    <w:rsid w:val="00115AEA"/>
    <w:rsid w:val="001163FE"/>
    <w:rsid w:val="00117B2A"/>
    <w:rsid w:val="00121FA4"/>
    <w:rsid w:val="00130E2C"/>
    <w:rsid w:val="00131441"/>
    <w:rsid w:val="0013282D"/>
    <w:rsid w:val="00141066"/>
    <w:rsid w:val="00141ACC"/>
    <w:rsid w:val="00143E17"/>
    <w:rsid w:val="00145552"/>
    <w:rsid w:val="00146670"/>
    <w:rsid w:val="00154036"/>
    <w:rsid w:val="00155C80"/>
    <w:rsid w:val="00157AB3"/>
    <w:rsid w:val="001603F8"/>
    <w:rsid w:val="001667C4"/>
    <w:rsid w:val="00167305"/>
    <w:rsid w:val="00170E59"/>
    <w:rsid w:val="0017551E"/>
    <w:rsid w:val="001775BC"/>
    <w:rsid w:val="00185C06"/>
    <w:rsid w:val="00195A25"/>
    <w:rsid w:val="001A18BB"/>
    <w:rsid w:val="001A2134"/>
    <w:rsid w:val="001A2FD8"/>
    <w:rsid w:val="001A562C"/>
    <w:rsid w:val="001B08EC"/>
    <w:rsid w:val="001B4025"/>
    <w:rsid w:val="001B5E86"/>
    <w:rsid w:val="001B7F80"/>
    <w:rsid w:val="001C3F95"/>
    <w:rsid w:val="001C6037"/>
    <w:rsid w:val="001D0D12"/>
    <w:rsid w:val="001D27D7"/>
    <w:rsid w:val="001D3F94"/>
    <w:rsid w:val="001D463D"/>
    <w:rsid w:val="001E49B0"/>
    <w:rsid w:val="001E6195"/>
    <w:rsid w:val="001F002D"/>
    <w:rsid w:val="001F24A9"/>
    <w:rsid w:val="001F2626"/>
    <w:rsid w:val="001F7161"/>
    <w:rsid w:val="0020272D"/>
    <w:rsid w:val="00204A0A"/>
    <w:rsid w:val="00211D7C"/>
    <w:rsid w:val="00212DE5"/>
    <w:rsid w:val="002166B3"/>
    <w:rsid w:val="0022219B"/>
    <w:rsid w:val="002263D3"/>
    <w:rsid w:val="002278A9"/>
    <w:rsid w:val="00230CAF"/>
    <w:rsid w:val="00231E75"/>
    <w:rsid w:val="002357F2"/>
    <w:rsid w:val="00240279"/>
    <w:rsid w:val="002442D0"/>
    <w:rsid w:val="00244B91"/>
    <w:rsid w:val="00245D58"/>
    <w:rsid w:val="00246204"/>
    <w:rsid w:val="00250F9C"/>
    <w:rsid w:val="00252184"/>
    <w:rsid w:val="00253DD2"/>
    <w:rsid w:val="002560CB"/>
    <w:rsid w:val="002569AB"/>
    <w:rsid w:val="00263452"/>
    <w:rsid w:val="002638E8"/>
    <w:rsid w:val="00267FA8"/>
    <w:rsid w:val="00270102"/>
    <w:rsid w:val="00272B71"/>
    <w:rsid w:val="00277943"/>
    <w:rsid w:val="00282777"/>
    <w:rsid w:val="002864DB"/>
    <w:rsid w:val="002956DD"/>
    <w:rsid w:val="002A0F62"/>
    <w:rsid w:val="002A46CD"/>
    <w:rsid w:val="002A6AC2"/>
    <w:rsid w:val="002B35FF"/>
    <w:rsid w:val="002B3D1B"/>
    <w:rsid w:val="002C3CAA"/>
    <w:rsid w:val="002C4D8D"/>
    <w:rsid w:val="002C59B3"/>
    <w:rsid w:val="002D04D4"/>
    <w:rsid w:val="002D234D"/>
    <w:rsid w:val="002D2906"/>
    <w:rsid w:val="002D3A2F"/>
    <w:rsid w:val="002D57F7"/>
    <w:rsid w:val="002D617E"/>
    <w:rsid w:val="002D7577"/>
    <w:rsid w:val="002E0634"/>
    <w:rsid w:val="002F048D"/>
    <w:rsid w:val="002F3D4E"/>
    <w:rsid w:val="002F5AF0"/>
    <w:rsid w:val="003010E2"/>
    <w:rsid w:val="00304E2D"/>
    <w:rsid w:val="00306111"/>
    <w:rsid w:val="003069A0"/>
    <w:rsid w:val="00311510"/>
    <w:rsid w:val="003156E9"/>
    <w:rsid w:val="00316B4A"/>
    <w:rsid w:val="003201CA"/>
    <w:rsid w:val="00320D48"/>
    <w:rsid w:val="00321BFE"/>
    <w:rsid w:val="0032252B"/>
    <w:rsid w:val="00324CCB"/>
    <w:rsid w:val="00325740"/>
    <w:rsid w:val="00325953"/>
    <w:rsid w:val="00326972"/>
    <w:rsid w:val="00334516"/>
    <w:rsid w:val="003356D5"/>
    <w:rsid w:val="003379CB"/>
    <w:rsid w:val="00341D8F"/>
    <w:rsid w:val="00345B91"/>
    <w:rsid w:val="0035293A"/>
    <w:rsid w:val="003549D7"/>
    <w:rsid w:val="003564B5"/>
    <w:rsid w:val="00367DD7"/>
    <w:rsid w:val="0037298B"/>
    <w:rsid w:val="00377156"/>
    <w:rsid w:val="00381D51"/>
    <w:rsid w:val="00383756"/>
    <w:rsid w:val="003856EE"/>
    <w:rsid w:val="00386527"/>
    <w:rsid w:val="00390198"/>
    <w:rsid w:val="003960EC"/>
    <w:rsid w:val="00397A95"/>
    <w:rsid w:val="00397D08"/>
    <w:rsid w:val="003B08AC"/>
    <w:rsid w:val="003B3E3A"/>
    <w:rsid w:val="003B718E"/>
    <w:rsid w:val="003C24EF"/>
    <w:rsid w:val="003C4502"/>
    <w:rsid w:val="003C646B"/>
    <w:rsid w:val="003D2F37"/>
    <w:rsid w:val="003D3362"/>
    <w:rsid w:val="003D469B"/>
    <w:rsid w:val="003D5B4E"/>
    <w:rsid w:val="003E3151"/>
    <w:rsid w:val="003E75E9"/>
    <w:rsid w:val="003F6C93"/>
    <w:rsid w:val="00401E1D"/>
    <w:rsid w:val="004076AB"/>
    <w:rsid w:val="004301EE"/>
    <w:rsid w:val="00432BA4"/>
    <w:rsid w:val="004411D3"/>
    <w:rsid w:val="004418E9"/>
    <w:rsid w:val="004506F3"/>
    <w:rsid w:val="004543DA"/>
    <w:rsid w:val="004626F8"/>
    <w:rsid w:val="0046486F"/>
    <w:rsid w:val="00465083"/>
    <w:rsid w:val="004708DC"/>
    <w:rsid w:val="00470AC4"/>
    <w:rsid w:val="00471842"/>
    <w:rsid w:val="00472A47"/>
    <w:rsid w:val="00474382"/>
    <w:rsid w:val="004745DC"/>
    <w:rsid w:val="00474BC4"/>
    <w:rsid w:val="00477062"/>
    <w:rsid w:val="00477A1D"/>
    <w:rsid w:val="004804E6"/>
    <w:rsid w:val="00481190"/>
    <w:rsid w:val="004813E7"/>
    <w:rsid w:val="004835DF"/>
    <w:rsid w:val="00484728"/>
    <w:rsid w:val="00484D05"/>
    <w:rsid w:val="00485732"/>
    <w:rsid w:val="00485AF3"/>
    <w:rsid w:val="004974DC"/>
    <w:rsid w:val="004A30BF"/>
    <w:rsid w:val="004A3ACA"/>
    <w:rsid w:val="004A60DE"/>
    <w:rsid w:val="004B1FD2"/>
    <w:rsid w:val="004B222C"/>
    <w:rsid w:val="004B39FF"/>
    <w:rsid w:val="004C0656"/>
    <w:rsid w:val="004C1280"/>
    <w:rsid w:val="004C4A68"/>
    <w:rsid w:val="004C4E28"/>
    <w:rsid w:val="004C6FA8"/>
    <w:rsid w:val="004D2561"/>
    <w:rsid w:val="004D4BBB"/>
    <w:rsid w:val="004D4D89"/>
    <w:rsid w:val="004D5887"/>
    <w:rsid w:val="004D5C67"/>
    <w:rsid w:val="004E0280"/>
    <w:rsid w:val="004E1405"/>
    <w:rsid w:val="004E35C5"/>
    <w:rsid w:val="004E47F6"/>
    <w:rsid w:val="004E6BF4"/>
    <w:rsid w:val="004E759B"/>
    <w:rsid w:val="004F1865"/>
    <w:rsid w:val="004F5510"/>
    <w:rsid w:val="00506211"/>
    <w:rsid w:val="00510C80"/>
    <w:rsid w:val="00510F9F"/>
    <w:rsid w:val="00515292"/>
    <w:rsid w:val="00515392"/>
    <w:rsid w:val="00516AED"/>
    <w:rsid w:val="00523F6B"/>
    <w:rsid w:val="005452A7"/>
    <w:rsid w:val="0054636C"/>
    <w:rsid w:val="00547DC2"/>
    <w:rsid w:val="0055466B"/>
    <w:rsid w:val="00570549"/>
    <w:rsid w:val="00570DE1"/>
    <w:rsid w:val="0057175B"/>
    <w:rsid w:val="00581ECC"/>
    <w:rsid w:val="0058602A"/>
    <w:rsid w:val="00587548"/>
    <w:rsid w:val="00591628"/>
    <w:rsid w:val="00593B11"/>
    <w:rsid w:val="005952DA"/>
    <w:rsid w:val="005976DD"/>
    <w:rsid w:val="005A3693"/>
    <w:rsid w:val="005B15DA"/>
    <w:rsid w:val="005B1AC2"/>
    <w:rsid w:val="005B6B57"/>
    <w:rsid w:val="005C484F"/>
    <w:rsid w:val="005C7265"/>
    <w:rsid w:val="005C7A50"/>
    <w:rsid w:val="005C7DCA"/>
    <w:rsid w:val="005D04ED"/>
    <w:rsid w:val="005D182E"/>
    <w:rsid w:val="005D6B54"/>
    <w:rsid w:val="005E1E86"/>
    <w:rsid w:val="005E3285"/>
    <w:rsid w:val="005E5B71"/>
    <w:rsid w:val="005E63D7"/>
    <w:rsid w:val="005F24FE"/>
    <w:rsid w:val="005F2899"/>
    <w:rsid w:val="005F4ECE"/>
    <w:rsid w:val="005F6555"/>
    <w:rsid w:val="00602EB4"/>
    <w:rsid w:val="0060340B"/>
    <w:rsid w:val="00603BB0"/>
    <w:rsid w:val="00604613"/>
    <w:rsid w:val="00604993"/>
    <w:rsid w:val="0060531E"/>
    <w:rsid w:val="00606190"/>
    <w:rsid w:val="006062D9"/>
    <w:rsid w:val="00613136"/>
    <w:rsid w:val="00613314"/>
    <w:rsid w:val="006174D6"/>
    <w:rsid w:val="00620970"/>
    <w:rsid w:val="0062330A"/>
    <w:rsid w:val="006233BC"/>
    <w:rsid w:val="00631274"/>
    <w:rsid w:val="00643408"/>
    <w:rsid w:val="006454B3"/>
    <w:rsid w:val="0064669D"/>
    <w:rsid w:val="00646AB7"/>
    <w:rsid w:val="00647ADE"/>
    <w:rsid w:val="00651840"/>
    <w:rsid w:val="0065463D"/>
    <w:rsid w:val="00654A5A"/>
    <w:rsid w:val="00665C1E"/>
    <w:rsid w:val="0067149A"/>
    <w:rsid w:val="00673EDE"/>
    <w:rsid w:val="00675AD9"/>
    <w:rsid w:val="0068316F"/>
    <w:rsid w:val="00691963"/>
    <w:rsid w:val="0069329C"/>
    <w:rsid w:val="0069556F"/>
    <w:rsid w:val="00695BE5"/>
    <w:rsid w:val="006A1659"/>
    <w:rsid w:val="006A4472"/>
    <w:rsid w:val="006A6839"/>
    <w:rsid w:val="006A6F4A"/>
    <w:rsid w:val="006B1098"/>
    <w:rsid w:val="006B3542"/>
    <w:rsid w:val="006B3A84"/>
    <w:rsid w:val="006B49DE"/>
    <w:rsid w:val="006B5407"/>
    <w:rsid w:val="006B70FB"/>
    <w:rsid w:val="006C060A"/>
    <w:rsid w:val="006C17B8"/>
    <w:rsid w:val="006C5E09"/>
    <w:rsid w:val="006C77EE"/>
    <w:rsid w:val="006D1B38"/>
    <w:rsid w:val="006D3DB1"/>
    <w:rsid w:val="006D403B"/>
    <w:rsid w:val="006E0AC1"/>
    <w:rsid w:val="006E1D19"/>
    <w:rsid w:val="006E39E4"/>
    <w:rsid w:val="006E5A9F"/>
    <w:rsid w:val="006F265B"/>
    <w:rsid w:val="006F33D7"/>
    <w:rsid w:val="006F397E"/>
    <w:rsid w:val="006F6E46"/>
    <w:rsid w:val="00704626"/>
    <w:rsid w:val="00705E1B"/>
    <w:rsid w:val="00706252"/>
    <w:rsid w:val="00706ABC"/>
    <w:rsid w:val="00727781"/>
    <w:rsid w:val="0073252E"/>
    <w:rsid w:val="00732D15"/>
    <w:rsid w:val="0073421F"/>
    <w:rsid w:val="0073557F"/>
    <w:rsid w:val="0073596F"/>
    <w:rsid w:val="007419B9"/>
    <w:rsid w:val="00741B0C"/>
    <w:rsid w:val="00741DD3"/>
    <w:rsid w:val="00742C0A"/>
    <w:rsid w:val="00743C88"/>
    <w:rsid w:val="0074405D"/>
    <w:rsid w:val="007440CB"/>
    <w:rsid w:val="00751002"/>
    <w:rsid w:val="00751BB6"/>
    <w:rsid w:val="00754CB1"/>
    <w:rsid w:val="007565EC"/>
    <w:rsid w:val="0076156B"/>
    <w:rsid w:val="00762C1A"/>
    <w:rsid w:val="00764142"/>
    <w:rsid w:val="00770005"/>
    <w:rsid w:val="00772F46"/>
    <w:rsid w:val="00777642"/>
    <w:rsid w:val="00777F4F"/>
    <w:rsid w:val="007842F3"/>
    <w:rsid w:val="00796AB2"/>
    <w:rsid w:val="007B13A5"/>
    <w:rsid w:val="007B56AD"/>
    <w:rsid w:val="007B74C8"/>
    <w:rsid w:val="007C5A0B"/>
    <w:rsid w:val="007D542A"/>
    <w:rsid w:val="007D641A"/>
    <w:rsid w:val="007E36A6"/>
    <w:rsid w:val="007E39B6"/>
    <w:rsid w:val="007E4883"/>
    <w:rsid w:val="007F155E"/>
    <w:rsid w:val="007F2612"/>
    <w:rsid w:val="007F4178"/>
    <w:rsid w:val="007F5F27"/>
    <w:rsid w:val="0080150E"/>
    <w:rsid w:val="00805CD2"/>
    <w:rsid w:val="0081216F"/>
    <w:rsid w:val="008143B1"/>
    <w:rsid w:val="008144D2"/>
    <w:rsid w:val="00817CCE"/>
    <w:rsid w:val="00820B14"/>
    <w:rsid w:val="00820B69"/>
    <w:rsid w:val="00820E37"/>
    <w:rsid w:val="008224C1"/>
    <w:rsid w:val="00824AFB"/>
    <w:rsid w:val="00825A53"/>
    <w:rsid w:val="008328BA"/>
    <w:rsid w:val="00832B2A"/>
    <w:rsid w:val="00840B73"/>
    <w:rsid w:val="0084538F"/>
    <w:rsid w:val="00851941"/>
    <w:rsid w:val="008572E4"/>
    <w:rsid w:val="00862614"/>
    <w:rsid w:val="00864C18"/>
    <w:rsid w:val="00864D84"/>
    <w:rsid w:val="00865277"/>
    <w:rsid w:val="00872692"/>
    <w:rsid w:val="008734C9"/>
    <w:rsid w:val="00881416"/>
    <w:rsid w:val="00881654"/>
    <w:rsid w:val="008856BD"/>
    <w:rsid w:val="0088626C"/>
    <w:rsid w:val="0089491B"/>
    <w:rsid w:val="00897644"/>
    <w:rsid w:val="008A0D8F"/>
    <w:rsid w:val="008A36F9"/>
    <w:rsid w:val="008A786D"/>
    <w:rsid w:val="008B694C"/>
    <w:rsid w:val="008D6574"/>
    <w:rsid w:val="008E7D2E"/>
    <w:rsid w:val="008F106D"/>
    <w:rsid w:val="008F3B94"/>
    <w:rsid w:val="00902B42"/>
    <w:rsid w:val="0090609F"/>
    <w:rsid w:val="009117CE"/>
    <w:rsid w:val="00911856"/>
    <w:rsid w:val="009140C2"/>
    <w:rsid w:val="009201F2"/>
    <w:rsid w:val="00925EF9"/>
    <w:rsid w:val="009277EE"/>
    <w:rsid w:val="00931A56"/>
    <w:rsid w:val="00933CB8"/>
    <w:rsid w:val="00934219"/>
    <w:rsid w:val="0094224B"/>
    <w:rsid w:val="00943A03"/>
    <w:rsid w:val="00944DBC"/>
    <w:rsid w:val="009458E0"/>
    <w:rsid w:val="00947A81"/>
    <w:rsid w:val="00953D16"/>
    <w:rsid w:val="0096128E"/>
    <w:rsid w:val="0096152F"/>
    <w:rsid w:val="009619CE"/>
    <w:rsid w:val="00962A85"/>
    <w:rsid w:val="00963EA8"/>
    <w:rsid w:val="009717C4"/>
    <w:rsid w:val="00975161"/>
    <w:rsid w:val="009751E6"/>
    <w:rsid w:val="00981E63"/>
    <w:rsid w:val="00981FE8"/>
    <w:rsid w:val="00984637"/>
    <w:rsid w:val="00984BE1"/>
    <w:rsid w:val="009A15CB"/>
    <w:rsid w:val="009A31AF"/>
    <w:rsid w:val="009B0729"/>
    <w:rsid w:val="009B4C50"/>
    <w:rsid w:val="009C084A"/>
    <w:rsid w:val="009D0FBD"/>
    <w:rsid w:val="009D4795"/>
    <w:rsid w:val="009E280A"/>
    <w:rsid w:val="009E71BB"/>
    <w:rsid w:val="009F0356"/>
    <w:rsid w:val="009F0B05"/>
    <w:rsid w:val="009F0C25"/>
    <w:rsid w:val="009F227E"/>
    <w:rsid w:val="009F2AD4"/>
    <w:rsid w:val="009F37B7"/>
    <w:rsid w:val="009F7380"/>
    <w:rsid w:val="00A03CC5"/>
    <w:rsid w:val="00A17AEA"/>
    <w:rsid w:val="00A20698"/>
    <w:rsid w:val="00A24A6F"/>
    <w:rsid w:val="00A266C1"/>
    <w:rsid w:val="00A27D38"/>
    <w:rsid w:val="00A305C4"/>
    <w:rsid w:val="00A3307E"/>
    <w:rsid w:val="00A330F0"/>
    <w:rsid w:val="00A36B67"/>
    <w:rsid w:val="00A401A2"/>
    <w:rsid w:val="00A44500"/>
    <w:rsid w:val="00A55C83"/>
    <w:rsid w:val="00A6398F"/>
    <w:rsid w:val="00A66CF8"/>
    <w:rsid w:val="00A72237"/>
    <w:rsid w:val="00A7242B"/>
    <w:rsid w:val="00A72AD5"/>
    <w:rsid w:val="00A75E6F"/>
    <w:rsid w:val="00A76443"/>
    <w:rsid w:val="00A802E4"/>
    <w:rsid w:val="00A85D34"/>
    <w:rsid w:val="00A85D4B"/>
    <w:rsid w:val="00A930AF"/>
    <w:rsid w:val="00A94276"/>
    <w:rsid w:val="00A95D2F"/>
    <w:rsid w:val="00A97D9E"/>
    <w:rsid w:val="00AA05D5"/>
    <w:rsid w:val="00AA33B3"/>
    <w:rsid w:val="00AB0E8D"/>
    <w:rsid w:val="00AB1E66"/>
    <w:rsid w:val="00AB33AE"/>
    <w:rsid w:val="00AC16AB"/>
    <w:rsid w:val="00AC2037"/>
    <w:rsid w:val="00AC5CD0"/>
    <w:rsid w:val="00AC6526"/>
    <w:rsid w:val="00AD39F7"/>
    <w:rsid w:val="00AD640F"/>
    <w:rsid w:val="00AD7163"/>
    <w:rsid w:val="00AD798B"/>
    <w:rsid w:val="00AE0506"/>
    <w:rsid w:val="00AE0E48"/>
    <w:rsid w:val="00AE3B18"/>
    <w:rsid w:val="00AE5681"/>
    <w:rsid w:val="00AE7123"/>
    <w:rsid w:val="00AF0A06"/>
    <w:rsid w:val="00AF17F4"/>
    <w:rsid w:val="00AF2A08"/>
    <w:rsid w:val="00AF606A"/>
    <w:rsid w:val="00B013E3"/>
    <w:rsid w:val="00B02415"/>
    <w:rsid w:val="00B02F7D"/>
    <w:rsid w:val="00B060DC"/>
    <w:rsid w:val="00B154D6"/>
    <w:rsid w:val="00B15892"/>
    <w:rsid w:val="00B33E56"/>
    <w:rsid w:val="00B34A52"/>
    <w:rsid w:val="00B35E5E"/>
    <w:rsid w:val="00B35E81"/>
    <w:rsid w:val="00B44665"/>
    <w:rsid w:val="00B506EA"/>
    <w:rsid w:val="00B509C4"/>
    <w:rsid w:val="00B57787"/>
    <w:rsid w:val="00B621D5"/>
    <w:rsid w:val="00B63112"/>
    <w:rsid w:val="00B70D3A"/>
    <w:rsid w:val="00B76480"/>
    <w:rsid w:val="00B81225"/>
    <w:rsid w:val="00B8230B"/>
    <w:rsid w:val="00B826C3"/>
    <w:rsid w:val="00B82D70"/>
    <w:rsid w:val="00B8342E"/>
    <w:rsid w:val="00B83B99"/>
    <w:rsid w:val="00B85627"/>
    <w:rsid w:val="00B86C83"/>
    <w:rsid w:val="00B90CD8"/>
    <w:rsid w:val="00B977A1"/>
    <w:rsid w:val="00BA1EA8"/>
    <w:rsid w:val="00BA6F5B"/>
    <w:rsid w:val="00BB7118"/>
    <w:rsid w:val="00BC16FE"/>
    <w:rsid w:val="00BC68DB"/>
    <w:rsid w:val="00BC699C"/>
    <w:rsid w:val="00BC7828"/>
    <w:rsid w:val="00BD2F61"/>
    <w:rsid w:val="00BD4B03"/>
    <w:rsid w:val="00BE0762"/>
    <w:rsid w:val="00BE18A2"/>
    <w:rsid w:val="00BE4118"/>
    <w:rsid w:val="00BE4723"/>
    <w:rsid w:val="00BE7464"/>
    <w:rsid w:val="00BF0AA1"/>
    <w:rsid w:val="00BF35F3"/>
    <w:rsid w:val="00BF6DA6"/>
    <w:rsid w:val="00BF7207"/>
    <w:rsid w:val="00C0012C"/>
    <w:rsid w:val="00C0049C"/>
    <w:rsid w:val="00C00784"/>
    <w:rsid w:val="00C11918"/>
    <w:rsid w:val="00C16F9C"/>
    <w:rsid w:val="00C17D8E"/>
    <w:rsid w:val="00C225B4"/>
    <w:rsid w:val="00C23F9C"/>
    <w:rsid w:val="00C2752E"/>
    <w:rsid w:val="00C3371F"/>
    <w:rsid w:val="00C370A9"/>
    <w:rsid w:val="00C37218"/>
    <w:rsid w:val="00C4005D"/>
    <w:rsid w:val="00C41CA3"/>
    <w:rsid w:val="00C47AE3"/>
    <w:rsid w:val="00C500B0"/>
    <w:rsid w:val="00C56E54"/>
    <w:rsid w:val="00C6289F"/>
    <w:rsid w:val="00C62EF3"/>
    <w:rsid w:val="00C64C25"/>
    <w:rsid w:val="00C67DA7"/>
    <w:rsid w:val="00C705FA"/>
    <w:rsid w:val="00C726D4"/>
    <w:rsid w:val="00C72D9B"/>
    <w:rsid w:val="00C76351"/>
    <w:rsid w:val="00C77DF4"/>
    <w:rsid w:val="00C96A44"/>
    <w:rsid w:val="00C96D06"/>
    <w:rsid w:val="00C975D4"/>
    <w:rsid w:val="00CA0B2A"/>
    <w:rsid w:val="00CA257A"/>
    <w:rsid w:val="00CA4BB6"/>
    <w:rsid w:val="00CA59D3"/>
    <w:rsid w:val="00CC00B2"/>
    <w:rsid w:val="00CC1920"/>
    <w:rsid w:val="00CC2B7B"/>
    <w:rsid w:val="00CC2E1C"/>
    <w:rsid w:val="00CC3650"/>
    <w:rsid w:val="00CC50CD"/>
    <w:rsid w:val="00CD3ACB"/>
    <w:rsid w:val="00CD7E3A"/>
    <w:rsid w:val="00CE1B41"/>
    <w:rsid w:val="00CE25AA"/>
    <w:rsid w:val="00CE6AFD"/>
    <w:rsid w:val="00CE7B11"/>
    <w:rsid w:val="00CF22B2"/>
    <w:rsid w:val="00CF57BF"/>
    <w:rsid w:val="00CF6620"/>
    <w:rsid w:val="00CF6B3C"/>
    <w:rsid w:val="00D07021"/>
    <w:rsid w:val="00D138C4"/>
    <w:rsid w:val="00D16155"/>
    <w:rsid w:val="00D20AF7"/>
    <w:rsid w:val="00D244E5"/>
    <w:rsid w:val="00D24E84"/>
    <w:rsid w:val="00D32C4F"/>
    <w:rsid w:val="00D3550B"/>
    <w:rsid w:val="00D40367"/>
    <w:rsid w:val="00D4091C"/>
    <w:rsid w:val="00D40BB4"/>
    <w:rsid w:val="00D427FE"/>
    <w:rsid w:val="00D43220"/>
    <w:rsid w:val="00D44B54"/>
    <w:rsid w:val="00D511B6"/>
    <w:rsid w:val="00D545D1"/>
    <w:rsid w:val="00D56951"/>
    <w:rsid w:val="00D570EF"/>
    <w:rsid w:val="00D5741F"/>
    <w:rsid w:val="00D57889"/>
    <w:rsid w:val="00D60E36"/>
    <w:rsid w:val="00D63F52"/>
    <w:rsid w:val="00D6698A"/>
    <w:rsid w:val="00D67AC1"/>
    <w:rsid w:val="00D711F2"/>
    <w:rsid w:val="00D741C5"/>
    <w:rsid w:val="00D7566D"/>
    <w:rsid w:val="00D75B43"/>
    <w:rsid w:val="00D77DDC"/>
    <w:rsid w:val="00D83F51"/>
    <w:rsid w:val="00D85245"/>
    <w:rsid w:val="00D85431"/>
    <w:rsid w:val="00D95E3E"/>
    <w:rsid w:val="00DA1CE4"/>
    <w:rsid w:val="00DA1F45"/>
    <w:rsid w:val="00DA3115"/>
    <w:rsid w:val="00DA4C1B"/>
    <w:rsid w:val="00DA5F07"/>
    <w:rsid w:val="00DB1814"/>
    <w:rsid w:val="00DB2F9B"/>
    <w:rsid w:val="00DB4D43"/>
    <w:rsid w:val="00DB6575"/>
    <w:rsid w:val="00DB7B85"/>
    <w:rsid w:val="00DC2F19"/>
    <w:rsid w:val="00DD1755"/>
    <w:rsid w:val="00DD2C59"/>
    <w:rsid w:val="00DD2F6A"/>
    <w:rsid w:val="00DD46AE"/>
    <w:rsid w:val="00DD48C3"/>
    <w:rsid w:val="00DD4D36"/>
    <w:rsid w:val="00DE2FC1"/>
    <w:rsid w:val="00DE4F41"/>
    <w:rsid w:val="00DE59C1"/>
    <w:rsid w:val="00DE6C01"/>
    <w:rsid w:val="00DF3FBD"/>
    <w:rsid w:val="00E02819"/>
    <w:rsid w:val="00E05531"/>
    <w:rsid w:val="00E10124"/>
    <w:rsid w:val="00E111F2"/>
    <w:rsid w:val="00E11526"/>
    <w:rsid w:val="00E11B1B"/>
    <w:rsid w:val="00E11B50"/>
    <w:rsid w:val="00E17B19"/>
    <w:rsid w:val="00E22257"/>
    <w:rsid w:val="00E25611"/>
    <w:rsid w:val="00E27B28"/>
    <w:rsid w:val="00E30F27"/>
    <w:rsid w:val="00E370DA"/>
    <w:rsid w:val="00E42E75"/>
    <w:rsid w:val="00E45638"/>
    <w:rsid w:val="00E47584"/>
    <w:rsid w:val="00E52A39"/>
    <w:rsid w:val="00E538DC"/>
    <w:rsid w:val="00E55BCB"/>
    <w:rsid w:val="00E643C8"/>
    <w:rsid w:val="00E67FAC"/>
    <w:rsid w:val="00E70CDC"/>
    <w:rsid w:val="00E711EA"/>
    <w:rsid w:val="00E713C3"/>
    <w:rsid w:val="00E80088"/>
    <w:rsid w:val="00E8099C"/>
    <w:rsid w:val="00E81CBF"/>
    <w:rsid w:val="00E835F9"/>
    <w:rsid w:val="00E84B30"/>
    <w:rsid w:val="00E850D2"/>
    <w:rsid w:val="00E87EF8"/>
    <w:rsid w:val="00E911EE"/>
    <w:rsid w:val="00E92F30"/>
    <w:rsid w:val="00E939B6"/>
    <w:rsid w:val="00E9478C"/>
    <w:rsid w:val="00E95464"/>
    <w:rsid w:val="00E976A3"/>
    <w:rsid w:val="00EA0834"/>
    <w:rsid w:val="00EA291B"/>
    <w:rsid w:val="00EA50A3"/>
    <w:rsid w:val="00EB51FC"/>
    <w:rsid w:val="00EB5B6E"/>
    <w:rsid w:val="00EC5D7B"/>
    <w:rsid w:val="00ED0058"/>
    <w:rsid w:val="00ED1A0A"/>
    <w:rsid w:val="00ED1BBF"/>
    <w:rsid w:val="00ED29BC"/>
    <w:rsid w:val="00ED3D4D"/>
    <w:rsid w:val="00ED6116"/>
    <w:rsid w:val="00ED6291"/>
    <w:rsid w:val="00EE2D05"/>
    <w:rsid w:val="00EE3924"/>
    <w:rsid w:val="00EE5090"/>
    <w:rsid w:val="00EE5FE3"/>
    <w:rsid w:val="00EF1500"/>
    <w:rsid w:val="00EF1CE5"/>
    <w:rsid w:val="00EF725F"/>
    <w:rsid w:val="00F00DA5"/>
    <w:rsid w:val="00F02239"/>
    <w:rsid w:val="00F0296C"/>
    <w:rsid w:val="00F04072"/>
    <w:rsid w:val="00F10599"/>
    <w:rsid w:val="00F107DF"/>
    <w:rsid w:val="00F11406"/>
    <w:rsid w:val="00F123DA"/>
    <w:rsid w:val="00F14AED"/>
    <w:rsid w:val="00F1554D"/>
    <w:rsid w:val="00F164E2"/>
    <w:rsid w:val="00F20311"/>
    <w:rsid w:val="00F2057D"/>
    <w:rsid w:val="00F317AE"/>
    <w:rsid w:val="00F35C56"/>
    <w:rsid w:val="00F42122"/>
    <w:rsid w:val="00F42542"/>
    <w:rsid w:val="00F50650"/>
    <w:rsid w:val="00F5225C"/>
    <w:rsid w:val="00F54646"/>
    <w:rsid w:val="00F56ED9"/>
    <w:rsid w:val="00F57817"/>
    <w:rsid w:val="00F62C5C"/>
    <w:rsid w:val="00F62C78"/>
    <w:rsid w:val="00F63D22"/>
    <w:rsid w:val="00F651CD"/>
    <w:rsid w:val="00F676E7"/>
    <w:rsid w:val="00F70E2C"/>
    <w:rsid w:val="00F73A40"/>
    <w:rsid w:val="00F759E9"/>
    <w:rsid w:val="00F85460"/>
    <w:rsid w:val="00F91F0C"/>
    <w:rsid w:val="00F9488A"/>
    <w:rsid w:val="00FA496B"/>
    <w:rsid w:val="00FA5DEF"/>
    <w:rsid w:val="00FB3CF9"/>
    <w:rsid w:val="00FB3CFD"/>
    <w:rsid w:val="00FB5DC2"/>
    <w:rsid w:val="00FB6C4B"/>
    <w:rsid w:val="00FB7384"/>
    <w:rsid w:val="00FC4B61"/>
    <w:rsid w:val="00FC4E43"/>
    <w:rsid w:val="00FC7B42"/>
    <w:rsid w:val="00FD31BE"/>
    <w:rsid w:val="00FD37BE"/>
    <w:rsid w:val="00FE087B"/>
    <w:rsid w:val="00FE287C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style="mso-position-horizontal-relative:page;mso-position-vertical-relative:page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0C2F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463D"/>
    <w:pPr>
      <w:tabs>
        <w:tab w:val="left" w:pos="2552"/>
        <w:tab w:val="left" w:pos="4536"/>
        <w:tab w:val="left" w:pos="6804"/>
      </w:tabs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A31AF"/>
    <w:pPr>
      <w:keepNext/>
      <w:numPr>
        <w:numId w:val="1"/>
      </w:numPr>
      <w:tabs>
        <w:tab w:val="clear" w:pos="2552"/>
        <w:tab w:val="clear" w:pos="4536"/>
        <w:tab w:val="clear" w:pos="6804"/>
        <w:tab w:val="left" w:pos="567"/>
      </w:tabs>
      <w:spacing w:before="360" w:after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A31AF"/>
    <w:pPr>
      <w:keepNext/>
      <w:numPr>
        <w:ilvl w:val="1"/>
        <w:numId w:val="1"/>
      </w:numPr>
      <w:tabs>
        <w:tab w:val="clear" w:pos="2552"/>
        <w:tab w:val="clear" w:pos="4536"/>
        <w:tab w:val="clear" w:pos="6804"/>
      </w:tabs>
      <w:spacing w:before="320" w:after="4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9A31AF"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</w:tabs>
      <w:spacing w:before="280"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95BE5"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qFormat/>
    <w:rsid w:val="00695BE5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695BE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95BE5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95BE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95BE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95BE5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link w:val="StandardBlockZchn"/>
    <w:rsid w:val="00C225B4"/>
    <w:pPr>
      <w:spacing w:before="120" w:after="60"/>
      <w:jc w:val="both"/>
    </w:pPr>
  </w:style>
  <w:style w:type="paragraph" w:styleId="Kopfzeile">
    <w:name w:val="header"/>
    <w:basedOn w:val="Standard"/>
    <w:rsid w:val="00695BE5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rsid w:val="00695BE5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rsid w:val="00E92F30"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rsid w:val="00695BE5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rsid w:val="00695BE5"/>
    <w:pPr>
      <w:spacing w:before="120"/>
      <w:jc w:val="center"/>
    </w:pPr>
    <w:rPr>
      <w:b/>
    </w:rPr>
  </w:style>
  <w:style w:type="paragraph" w:customStyle="1" w:styleId="StandardZentriert">
    <w:name w:val="Standard + Zentriert"/>
    <w:basedOn w:val="Standard"/>
    <w:next w:val="Standard"/>
    <w:rsid w:val="00695BE5"/>
    <w:pPr>
      <w:jc w:val="center"/>
    </w:pPr>
  </w:style>
  <w:style w:type="paragraph" w:customStyle="1" w:styleId="Mitg">
    <w:name w:val="Mitg."/>
    <w:basedOn w:val="Standard"/>
    <w:rsid w:val="00695BE5"/>
  </w:style>
  <w:style w:type="paragraph" w:customStyle="1" w:styleId="Leerzeile">
    <w:name w:val="Leerzeile"/>
    <w:basedOn w:val="Standard"/>
    <w:rsid w:val="00695BE5"/>
  </w:style>
  <w:style w:type="paragraph" w:styleId="Verzeichnis1">
    <w:name w:val="toc 1"/>
    <w:basedOn w:val="Standard"/>
    <w:next w:val="Standard"/>
    <w:autoRedefine/>
    <w:uiPriority w:val="39"/>
    <w:rsid w:val="00DD46AE"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rsid w:val="00DD46AE"/>
    <w:pPr>
      <w:tabs>
        <w:tab w:val="clear" w:pos="2552"/>
        <w:tab w:val="clear" w:pos="4536"/>
        <w:tab w:val="clear" w:pos="6804"/>
        <w:tab w:val="left" w:pos="720"/>
        <w:tab w:val="right" w:leader="dot" w:pos="9911"/>
      </w:tabs>
      <w:spacing w:after="60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20"/>
        <w:tab w:val="right" w:pos="9923"/>
      </w:tabs>
      <w:spacing w:after="60"/>
    </w:pPr>
    <w:rPr>
      <w:noProof/>
    </w:rPr>
  </w:style>
  <w:style w:type="character" w:styleId="Hyperlink">
    <w:name w:val="Hyperlink"/>
    <w:uiPriority w:val="99"/>
    <w:rsid w:val="00695BE5"/>
    <w:rPr>
      <w:color w:val="0000FF"/>
      <w:sz w:val="24"/>
      <w:u w:val="single"/>
    </w:rPr>
  </w:style>
  <w:style w:type="character" w:customStyle="1" w:styleId="StandardBlockChar">
    <w:name w:val="Standard Block Char"/>
    <w:rsid w:val="00695BE5"/>
    <w:rPr>
      <w:rFonts w:ascii="Arial" w:hAnsi="Arial"/>
      <w:noProof w:val="0"/>
      <w:lang w:val="de-DE" w:eastAsia="de-DE" w:bidi="ar-SA"/>
    </w:rPr>
  </w:style>
  <w:style w:type="paragraph" w:styleId="Titel">
    <w:name w:val="Title"/>
    <w:basedOn w:val="Standard"/>
    <w:qFormat/>
    <w:rsid w:val="00CC2E1C"/>
    <w:rPr>
      <w:sz w:val="28"/>
    </w:rPr>
  </w:style>
  <w:style w:type="paragraph" w:styleId="Sprechblasentext">
    <w:name w:val="Balloon Text"/>
    <w:basedOn w:val="Standard"/>
    <w:semiHidden/>
    <w:rsid w:val="00C96A44"/>
    <w:rPr>
      <w:rFonts w:ascii="Tahoma" w:hAnsi="Tahoma" w:cs="Tahoma"/>
      <w:sz w:val="16"/>
      <w:szCs w:val="16"/>
    </w:rPr>
  </w:style>
  <w:style w:type="character" w:styleId="BesuchterLink">
    <w:name w:val="FollowedHyperlink"/>
    <w:rsid w:val="003C646B"/>
    <w:rPr>
      <w:color w:val="800080"/>
      <w:u w:val="single"/>
    </w:rPr>
  </w:style>
  <w:style w:type="paragraph" w:customStyle="1" w:styleId="Tabelle9Links">
    <w:name w:val="Tabelle 9 + Links"/>
    <w:basedOn w:val="Standard"/>
    <w:rsid w:val="00832B2A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table" w:styleId="Tabellenraster">
    <w:name w:val="Table Grid"/>
    <w:basedOn w:val="NormaleTabelle"/>
    <w:rsid w:val="00F2057D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mitPunkt">
    <w:name w:val="Aufzählung mit Punkt"/>
    <w:basedOn w:val="StandardBlock"/>
    <w:rsid w:val="00BE18A2"/>
    <w:pPr>
      <w:numPr>
        <w:numId w:val="21"/>
      </w:numPr>
      <w:spacing w:before="40" w:after="0"/>
    </w:pPr>
    <w:rPr>
      <w:color w:val="000000"/>
      <w:szCs w:val="22"/>
    </w:rPr>
  </w:style>
  <w:style w:type="character" w:customStyle="1" w:styleId="StandardBlockZchn">
    <w:name w:val="Standard Block Zchn"/>
    <w:link w:val="StandardBlock"/>
    <w:rsid w:val="00C225B4"/>
    <w:rPr>
      <w:rFonts w:ascii="Arial" w:hAnsi="Arial"/>
      <w:sz w:val="22"/>
      <w:lang w:val="de-DE" w:eastAsia="de-DE" w:bidi="ar-SA"/>
    </w:rPr>
  </w:style>
  <w:style w:type="paragraph" w:styleId="NurText">
    <w:name w:val="Plain Text"/>
    <w:basedOn w:val="Standard"/>
    <w:rsid w:val="009D4795"/>
    <w:pPr>
      <w:tabs>
        <w:tab w:val="clear" w:pos="2552"/>
        <w:tab w:val="clear" w:pos="4536"/>
        <w:tab w:val="clear" w:pos="6804"/>
      </w:tabs>
    </w:pPr>
    <w:rPr>
      <w:rFonts w:ascii="Courier New" w:hAnsi="Courier New" w:cs="Courier New"/>
      <w:sz w:val="20"/>
    </w:rPr>
  </w:style>
  <w:style w:type="paragraph" w:customStyle="1" w:styleId="Standard2">
    <w:name w:val="Standard 2"/>
    <w:basedOn w:val="Standard"/>
    <w:rsid w:val="00272B71"/>
    <w:pPr>
      <w:tabs>
        <w:tab w:val="clear" w:pos="2552"/>
        <w:tab w:val="clear" w:pos="4536"/>
        <w:tab w:val="clear" w:pos="6804"/>
      </w:tabs>
      <w:spacing w:before="60" w:after="60"/>
      <w:ind w:left="992"/>
    </w:pPr>
    <w:rPr>
      <w:rFonts w:eastAsia="Batang"/>
      <w:lang w:eastAsia="ko-KR"/>
    </w:rPr>
  </w:style>
  <w:style w:type="paragraph" w:styleId="Dokumentstruktur">
    <w:name w:val="Document Map"/>
    <w:basedOn w:val="Standard"/>
    <w:semiHidden/>
    <w:rsid w:val="00C76351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481190"/>
    <w:rPr>
      <w:sz w:val="16"/>
      <w:szCs w:val="16"/>
    </w:rPr>
  </w:style>
  <w:style w:type="paragraph" w:styleId="Kommentartext">
    <w:name w:val="annotation text"/>
    <w:basedOn w:val="Standard"/>
    <w:semiHidden/>
    <w:rsid w:val="0048119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81190"/>
    <w:rPr>
      <w:b/>
      <w:bCs/>
    </w:rPr>
  </w:style>
  <w:style w:type="paragraph" w:customStyle="1" w:styleId="Vorgabetext">
    <w:name w:val="Vorgabetext"/>
    <w:basedOn w:val="Standard"/>
    <w:rsid w:val="00751002"/>
    <w:pPr>
      <w:tabs>
        <w:tab w:val="clear" w:pos="2552"/>
        <w:tab w:val="clear" w:pos="4536"/>
        <w:tab w:val="clear" w:pos="6804"/>
      </w:tabs>
      <w:ind w:left="340"/>
      <w:jc w:val="both"/>
    </w:pPr>
  </w:style>
  <w:style w:type="paragraph" w:styleId="Funotentext">
    <w:name w:val="footnote text"/>
    <w:basedOn w:val="Standard"/>
    <w:link w:val="FunotentextZchn"/>
    <w:rsid w:val="00F42122"/>
    <w:rPr>
      <w:sz w:val="20"/>
    </w:rPr>
  </w:style>
  <w:style w:type="character" w:customStyle="1" w:styleId="FunotentextZchn">
    <w:name w:val="Fußnotentext Zchn"/>
    <w:link w:val="Funotentext"/>
    <w:rsid w:val="00F42122"/>
    <w:rPr>
      <w:rFonts w:ascii="Arial" w:hAnsi="Arial"/>
    </w:rPr>
  </w:style>
  <w:style w:type="character" w:styleId="Funotenzeichen">
    <w:name w:val="footnote reference"/>
    <w:rsid w:val="00F42122"/>
    <w:rPr>
      <w:vertAlign w:val="superscript"/>
    </w:rPr>
  </w:style>
  <w:style w:type="paragraph" w:styleId="berarbeitung">
    <w:name w:val="Revision"/>
    <w:hidden/>
    <w:uiPriority w:val="99"/>
    <w:semiHidden/>
    <w:rsid w:val="005B15DA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aafc99-d565-4d3b-a1eb-052ed42065a4">3a7c6a50-0c3f-4a20-a4e3-6a3c38f2c728-913938588-13931</_dlc_DocId>
    <_dlc_DocIdUrl xmlns="c8aafc99-d565-4d3b-a1eb-052ed42065a4">
      <Url>https://worksite.sharepoint.com/sites/OG_14448/_layouts/15/DocIdRedir.aspx?ID=3a7c6a50-0c3f-4a20-a4e3-6a3c38f2c728-913938588-13931</Url>
      <Description>3a7c6a50-0c3f-4a20-a4e3-6a3c38f2c728-913938588-13931</Description>
    </_dlc_DocIdUrl>
    <_Flow_SignoffStatus xmlns="a7e996a4-7a03-45ef-bfc0-bde530dd055c" xsi:nil="true"/>
    <Einspruchsrunde xmlns="a7e996a4-7a03-45ef-bfc0-bde530dd055c">true</Einspruchsrun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2610593C1BC44848D326C9CF217D5" ma:contentTypeVersion="13" ma:contentTypeDescription="Create a new document." ma:contentTypeScope="" ma:versionID="ba8d7594ae379b293151270a55bd83a8">
  <xsd:schema xmlns:xsd="http://www.w3.org/2001/XMLSchema" xmlns:xs="http://www.w3.org/2001/XMLSchema" xmlns:p="http://schemas.microsoft.com/office/2006/metadata/properties" xmlns:ns2="c8aafc99-d565-4d3b-a1eb-052ed42065a4" xmlns:ns3="a7e996a4-7a03-45ef-bfc0-bde530dd055c" targetNamespace="http://schemas.microsoft.com/office/2006/metadata/properties" ma:root="true" ma:fieldsID="8e442fb6d4c0f23b21dfaea31a833ae8" ns2:_="" ns3:_="">
    <xsd:import namespace="c8aafc99-d565-4d3b-a1eb-052ed42065a4"/>
    <xsd:import namespace="a7e996a4-7a03-45ef-bfc0-bde530dd05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Einspruchsrunde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afc99-d565-4d3b-a1eb-052ed4206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96a4-7a03-45ef-bfc0-bde530dd0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inspruchsrunde" ma:index="18" nillable="true" ma:displayName="Einspruchsrunde" ma:default="1" ma:format="Dropdown" ma:internalName="Einspruchsrunde">
      <xsd:simpleType>
        <xsd:restriction base="dms:Boolea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CBDB5-579D-4B4A-8AA9-728FFAA98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3D5A2F-643E-4990-B1FE-3239D8F46800}">
  <ds:schemaRefs>
    <ds:schemaRef ds:uri="http://schemas.microsoft.com/office/2006/metadata/properties"/>
    <ds:schemaRef ds:uri="http://schemas.microsoft.com/office/infopath/2007/PartnerControls"/>
    <ds:schemaRef ds:uri="c8aafc99-d565-4d3b-a1eb-052ed42065a4"/>
    <ds:schemaRef ds:uri="a7e996a4-7a03-45ef-bfc0-bde530dd055c"/>
  </ds:schemaRefs>
</ds:datastoreItem>
</file>

<file path=customXml/itemProps3.xml><?xml version="1.0" encoding="utf-8"?>
<ds:datastoreItem xmlns:ds="http://schemas.openxmlformats.org/officeDocument/2006/customXml" ds:itemID="{F3071BDD-0558-4C14-94D9-71F88B5E1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afc99-d565-4d3b-a1eb-052ed42065a4"/>
    <ds:schemaRef ds:uri="a7e996a4-7a03-45ef-bfc0-bde530dd0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47F64-3F98-4C73-8EF9-412070543B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2514C6-A40C-42A5-92D4-9BD12C7A5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Qualitätssicherungsvereinbarung mit Softwarelieferanten</vt:lpstr>
    </vt:vector>
  </TitlesOfParts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Qualitätssicherungsvereinbarung mit Softwarelieferanten</dc:title>
  <dc:subject>S 296001</dc:subject>
  <dc:creator/>
  <cp:keywords>QSV, Software</cp:keywords>
  <cp:lastModifiedBy/>
  <cp:revision>1</cp:revision>
  <cp:lastPrinted>2009-02-05T10:51:00Z</cp:lastPrinted>
  <dcterms:created xsi:type="dcterms:W3CDTF">2021-03-31T06:29:00Z</dcterms:created>
  <dcterms:modified xsi:type="dcterms:W3CDTF">2021-03-31T06:47:00Z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0x0101009902610593C1BC44848D326C9CF217D5</vt:lpwstr>
  </property>
  <property fmtid="{D5CDD505-2E9C-101B-9397-08002B2CF9AE}" pid="3" name="_dlc_DocIdItemGuid">
    <vt:lpwstr>9baf5825-a474-40ab-888a-9e76655eb2fa</vt:lpwstr>
  </property>
</Properties>
</file>