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E5" w:rsidRPr="00FF0C67" w:rsidRDefault="00695BE5" w:rsidP="00C0049C">
      <w:pPr>
        <w:pStyle w:val="Titel"/>
        <w:tabs>
          <w:tab w:val="clear" w:pos="2552"/>
        </w:tabs>
        <w:rPr>
          <w:b/>
        </w:rPr>
      </w:pPr>
      <w:r w:rsidRPr="00D25A82">
        <w:rPr>
          <w:b/>
        </w:rPr>
        <w:t>Qualit</w:t>
      </w:r>
      <w:r w:rsidR="00FF23AA" w:rsidRPr="00D25A82">
        <w:rPr>
          <w:b/>
        </w:rPr>
        <w:t>ätssicherungsvereinbarung mit</w:t>
      </w:r>
      <w:r w:rsidR="007026BE" w:rsidRPr="00D25A82">
        <w:rPr>
          <w:b/>
        </w:rPr>
        <w:t xml:space="preserve"> </w:t>
      </w:r>
      <w:r w:rsidR="00FF23AA" w:rsidRPr="00D25A82">
        <w:rPr>
          <w:b/>
        </w:rPr>
        <w:t>Aerospace</w:t>
      </w:r>
      <w:r w:rsidR="00FF23AA">
        <w:rPr>
          <w:b/>
        </w:rPr>
        <w:t>-Lieferanten</w:t>
      </w:r>
    </w:p>
    <w:p w:rsidR="00695BE5" w:rsidRPr="00FF0C67" w:rsidRDefault="00695BE5" w:rsidP="008D6574">
      <w:pPr>
        <w:pStyle w:val="StandardZentriert"/>
        <w:jc w:val="left"/>
      </w:pPr>
    </w:p>
    <w:p w:rsidR="00695BE5" w:rsidRPr="00FF0C67" w:rsidRDefault="00695BE5" w:rsidP="008D6574">
      <w:pPr>
        <w:pStyle w:val="StandardZentriert"/>
        <w:jc w:val="left"/>
      </w:pPr>
    </w:p>
    <w:p w:rsidR="002A0F62" w:rsidRPr="00FF0C67" w:rsidRDefault="002A0F62" w:rsidP="008D6574"/>
    <w:p w:rsidR="002A0F62" w:rsidRPr="00FF0C67" w:rsidRDefault="002A0F62" w:rsidP="008D6574"/>
    <w:p w:rsidR="000D5BB6" w:rsidRPr="00FF0C67" w:rsidRDefault="00FF23AA" w:rsidP="00D20AF7">
      <w:pPr>
        <w:pStyle w:val="StandardZentriert"/>
        <w:tabs>
          <w:tab w:val="clear" w:pos="2552"/>
          <w:tab w:val="clear" w:pos="4536"/>
          <w:tab w:val="clear" w:pos="6804"/>
          <w:tab w:val="left" w:pos="1620"/>
        </w:tabs>
        <w:spacing w:before="60"/>
        <w:jc w:val="left"/>
      </w:pPr>
      <w:r>
        <w:t>zwischen</w:t>
      </w:r>
      <w:r w:rsidRPr="00FF0C67">
        <w:t xml:space="preserve"> </w:t>
      </w:r>
      <w:r w:rsidR="000D5BB6" w:rsidRPr="00FF0C67">
        <w:tab/>
      </w:r>
      <w:r w:rsidR="00902B42" w:rsidRPr="00495F1B">
        <w:rPr>
          <w:lang w:val="en-GB"/>
        </w:rPr>
        <w:fldChar w:fldCharType="begin">
          <w:ffData>
            <w:name w:val="Text4"/>
            <w:enabled/>
            <w:calcOnExit w:val="0"/>
            <w:textInput/>
          </w:ffData>
        </w:fldChar>
      </w:r>
      <w:r w:rsidR="00902B42" w:rsidRPr="00FF0C67">
        <w:instrText xml:space="preserve"> FORMTEXT </w:instrText>
      </w:r>
      <w:r w:rsidR="00902B42" w:rsidRPr="00495F1B">
        <w:rPr>
          <w:lang w:val="en-GB"/>
        </w:rPr>
      </w:r>
      <w:r w:rsidR="00902B42" w:rsidRPr="00495F1B">
        <w:rPr>
          <w:lang w:val="en-GB"/>
        </w:rPr>
        <w:fldChar w:fldCharType="separate"/>
      </w:r>
      <w:bookmarkStart w:id="0" w:name="_GoBack"/>
      <w:r w:rsidR="00D20AF7" w:rsidRPr="00495F1B">
        <w:rPr>
          <w:noProof/>
          <w:lang w:val="en-GB"/>
        </w:rPr>
        <w:t> </w:t>
      </w:r>
      <w:r w:rsidR="00D20AF7" w:rsidRPr="00495F1B">
        <w:rPr>
          <w:noProof/>
          <w:lang w:val="en-GB"/>
        </w:rPr>
        <w:t> </w:t>
      </w:r>
      <w:r w:rsidR="00D20AF7" w:rsidRPr="00495F1B">
        <w:rPr>
          <w:noProof/>
          <w:lang w:val="en-GB"/>
        </w:rPr>
        <w:t> </w:t>
      </w:r>
      <w:r w:rsidR="00D20AF7" w:rsidRPr="00495F1B">
        <w:rPr>
          <w:noProof/>
          <w:lang w:val="en-GB"/>
        </w:rPr>
        <w:t> </w:t>
      </w:r>
      <w:r w:rsidR="00D20AF7" w:rsidRPr="00495F1B">
        <w:rPr>
          <w:noProof/>
          <w:lang w:val="en-GB"/>
        </w:rPr>
        <w:t> </w:t>
      </w:r>
      <w:bookmarkEnd w:id="0"/>
      <w:r w:rsidR="00902B42" w:rsidRPr="00495F1B">
        <w:rPr>
          <w:lang w:val="en-GB"/>
        </w:rPr>
        <w:fldChar w:fldCharType="end"/>
      </w:r>
    </w:p>
    <w:bookmarkStart w:id="1" w:name="Text4"/>
    <w:p w:rsidR="002A0F62" w:rsidRPr="00495F1B" w:rsidRDefault="002A0F62" w:rsidP="000D03B9">
      <w:pPr>
        <w:tabs>
          <w:tab w:val="clear" w:pos="2552"/>
          <w:tab w:val="left" w:pos="1620"/>
        </w:tabs>
        <w:spacing w:before="60"/>
        <w:ind w:left="1620"/>
        <w:rPr>
          <w:lang w:val="en-GB"/>
        </w:rPr>
      </w:pPr>
      <w:r w:rsidRPr="00495F1B">
        <w:rPr>
          <w:lang w:val="en-GB"/>
        </w:rPr>
        <w:fldChar w:fldCharType="begin">
          <w:ffData>
            <w:name w:val="Text4"/>
            <w:enabled/>
            <w:calcOnExit w:val="0"/>
            <w:textInput/>
          </w:ffData>
        </w:fldChar>
      </w:r>
      <w:r w:rsidRPr="00495F1B">
        <w:rPr>
          <w:lang w:val="en-GB"/>
        </w:rPr>
        <w:instrText xml:space="preserve"> FORMTEXT </w:instrText>
      </w:r>
      <w:r w:rsidRPr="00495F1B">
        <w:rPr>
          <w:lang w:val="en-GB"/>
        </w:rPr>
      </w:r>
      <w:r w:rsidRPr="00495F1B">
        <w:rPr>
          <w:lang w:val="en-GB"/>
        </w:rPr>
        <w:fldChar w:fldCharType="separate"/>
      </w:r>
      <w:r w:rsidR="000D03B9" w:rsidRPr="00495F1B">
        <w:rPr>
          <w:noProof/>
          <w:lang w:val="en-GB"/>
        </w:rPr>
        <w:t> </w:t>
      </w:r>
      <w:r w:rsidR="000D03B9" w:rsidRPr="00495F1B">
        <w:rPr>
          <w:noProof/>
          <w:lang w:val="en-GB"/>
        </w:rPr>
        <w:t> </w:t>
      </w:r>
      <w:r w:rsidR="000D03B9" w:rsidRPr="00495F1B">
        <w:rPr>
          <w:noProof/>
          <w:lang w:val="en-GB"/>
        </w:rPr>
        <w:t> </w:t>
      </w:r>
      <w:r w:rsidR="000D03B9" w:rsidRPr="00495F1B">
        <w:rPr>
          <w:noProof/>
          <w:lang w:val="en-GB"/>
        </w:rPr>
        <w:t> </w:t>
      </w:r>
      <w:r w:rsidR="000D03B9" w:rsidRPr="00495F1B">
        <w:rPr>
          <w:noProof/>
          <w:lang w:val="en-GB"/>
        </w:rPr>
        <w:t> </w:t>
      </w:r>
      <w:r w:rsidRPr="00495F1B">
        <w:rPr>
          <w:lang w:val="en-GB"/>
        </w:rPr>
        <w:fldChar w:fldCharType="end"/>
      </w:r>
      <w:bookmarkEnd w:id="1"/>
    </w:p>
    <w:p w:rsidR="00F03674" w:rsidRPr="00495F1B" w:rsidRDefault="00F03674" w:rsidP="00F03674">
      <w:pPr>
        <w:tabs>
          <w:tab w:val="clear" w:pos="2552"/>
          <w:tab w:val="left" w:pos="1620"/>
        </w:tabs>
        <w:spacing w:before="60"/>
        <w:ind w:left="1620"/>
        <w:rPr>
          <w:lang w:val="en-GB"/>
        </w:rPr>
      </w:pPr>
      <w:r w:rsidRPr="00495F1B">
        <w:rPr>
          <w:lang w:val="en-GB"/>
        </w:rPr>
        <w:fldChar w:fldCharType="begin">
          <w:ffData>
            <w:name w:val="Text4"/>
            <w:enabled/>
            <w:calcOnExit w:val="0"/>
            <w:textInput/>
          </w:ffData>
        </w:fldChar>
      </w:r>
      <w:r w:rsidRPr="00495F1B">
        <w:rPr>
          <w:lang w:val="en-GB"/>
        </w:rPr>
        <w:instrText xml:space="preserve"> FORMTEXT </w:instrText>
      </w:r>
      <w:r w:rsidRPr="00495F1B">
        <w:rPr>
          <w:lang w:val="en-GB"/>
        </w:rPr>
      </w:r>
      <w:r w:rsidRPr="00495F1B">
        <w:rPr>
          <w:lang w:val="en-GB"/>
        </w:rPr>
        <w:fldChar w:fldCharType="separate"/>
      </w:r>
      <w:r w:rsidRPr="00495F1B">
        <w:rPr>
          <w:noProof/>
          <w:lang w:val="en-GB"/>
        </w:rPr>
        <w:t> </w:t>
      </w:r>
      <w:r w:rsidRPr="00495F1B">
        <w:rPr>
          <w:noProof/>
          <w:lang w:val="en-GB"/>
        </w:rPr>
        <w:t> </w:t>
      </w:r>
      <w:r w:rsidRPr="00495F1B">
        <w:rPr>
          <w:noProof/>
          <w:lang w:val="en-GB"/>
        </w:rPr>
        <w:t> </w:t>
      </w:r>
      <w:r w:rsidRPr="00495F1B">
        <w:rPr>
          <w:noProof/>
          <w:lang w:val="en-GB"/>
        </w:rPr>
        <w:t> </w:t>
      </w:r>
      <w:r w:rsidRPr="00495F1B">
        <w:rPr>
          <w:noProof/>
          <w:lang w:val="en-GB"/>
        </w:rPr>
        <w:t> </w:t>
      </w:r>
      <w:r w:rsidRPr="00495F1B">
        <w:rPr>
          <w:lang w:val="en-GB"/>
        </w:rPr>
        <w:fldChar w:fldCharType="end"/>
      </w:r>
    </w:p>
    <w:p w:rsidR="002A0F62" w:rsidRPr="00495F1B" w:rsidRDefault="00F03674" w:rsidP="008F3B94">
      <w:pPr>
        <w:pStyle w:val="StandardZentriert"/>
        <w:tabs>
          <w:tab w:val="clear" w:pos="2552"/>
          <w:tab w:val="clear" w:pos="4536"/>
          <w:tab w:val="clear" w:pos="6804"/>
          <w:tab w:val="left" w:pos="1620"/>
        </w:tabs>
        <w:spacing w:before="60"/>
        <w:jc w:val="left"/>
        <w:rPr>
          <w:lang w:val="en-GB"/>
        </w:rPr>
      </w:pPr>
      <w:r w:rsidRPr="00495F1B">
        <w:rPr>
          <w:lang w:val="en-GB"/>
        </w:rPr>
        <w:tab/>
      </w:r>
      <w:r w:rsidR="00E111F2" w:rsidRPr="00495F1B">
        <w:rPr>
          <w:lang w:val="en-GB"/>
        </w:rPr>
        <w:fldChar w:fldCharType="begin">
          <w:ffData>
            <w:name w:val="Text4"/>
            <w:enabled/>
            <w:calcOnExit w:val="0"/>
            <w:textInput/>
          </w:ffData>
        </w:fldChar>
      </w:r>
      <w:r w:rsidR="00E111F2" w:rsidRPr="00495F1B">
        <w:rPr>
          <w:lang w:val="en-GB"/>
        </w:rPr>
        <w:instrText xml:space="preserve"> FORMTEXT </w:instrText>
      </w:r>
      <w:r w:rsidR="00E111F2" w:rsidRPr="00495F1B">
        <w:rPr>
          <w:lang w:val="en-GB"/>
        </w:rPr>
      </w:r>
      <w:r w:rsidR="00E111F2" w:rsidRPr="00495F1B">
        <w:rPr>
          <w:lang w:val="en-GB"/>
        </w:rPr>
        <w:fldChar w:fldCharType="separate"/>
      </w:r>
      <w:r w:rsidR="00E111F2" w:rsidRPr="00495F1B">
        <w:rPr>
          <w:noProof/>
          <w:lang w:val="en-GB"/>
        </w:rPr>
        <w:t> </w:t>
      </w:r>
      <w:r w:rsidR="00E111F2" w:rsidRPr="00495F1B">
        <w:rPr>
          <w:noProof/>
          <w:lang w:val="en-GB"/>
        </w:rPr>
        <w:t> </w:t>
      </w:r>
      <w:r w:rsidR="00E111F2" w:rsidRPr="00495F1B">
        <w:rPr>
          <w:noProof/>
          <w:lang w:val="en-GB"/>
        </w:rPr>
        <w:t> </w:t>
      </w:r>
      <w:r w:rsidR="00E111F2" w:rsidRPr="00495F1B">
        <w:rPr>
          <w:noProof/>
          <w:lang w:val="en-GB"/>
        </w:rPr>
        <w:t> </w:t>
      </w:r>
      <w:r w:rsidR="00E111F2" w:rsidRPr="00495F1B">
        <w:rPr>
          <w:noProof/>
          <w:lang w:val="en-GB"/>
        </w:rPr>
        <w:t> </w:t>
      </w:r>
      <w:r w:rsidR="00E111F2" w:rsidRPr="00495F1B">
        <w:rPr>
          <w:lang w:val="en-GB"/>
        </w:rPr>
        <w:fldChar w:fldCharType="end"/>
      </w:r>
    </w:p>
    <w:p w:rsidR="005F0E2C" w:rsidRPr="00FF0C67" w:rsidRDefault="00E111F2" w:rsidP="005F0E2C">
      <w:pPr>
        <w:tabs>
          <w:tab w:val="clear" w:pos="2552"/>
          <w:tab w:val="left" w:pos="1620"/>
        </w:tabs>
        <w:spacing w:before="60"/>
      </w:pPr>
      <w:r w:rsidRPr="00495F1B">
        <w:rPr>
          <w:lang w:val="en-GB"/>
        </w:rPr>
        <w:tab/>
      </w:r>
      <w:r w:rsidR="005F0E2C" w:rsidRPr="00FF0C67">
        <w:t>Schaeffler</w:t>
      </w:r>
      <w:r w:rsidR="00FF23AA" w:rsidRPr="00FF0C67">
        <w:t>-Lieferantennr.</w:t>
      </w:r>
      <w:r w:rsidR="005F0E2C" w:rsidRPr="00FF0C67">
        <w:t xml:space="preserve">: </w:t>
      </w:r>
      <w:r w:rsidR="005F0E2C" w:rsidRPr="00495F1B">
        <w:rPr>
          <w:lang w:val="en-GB"/>
        </w:rPr>
        <w:fldChar w:fldCharType="begin">
          <w:ffData>
            <w:name w:val="Text4"/>
            <w:enabled/>
            <w:calcOnExit w:val="0"/>
            <w:textInput/>
          </w:ffData>
        </w:fldChar>
      </w:r>
      <w:r w:rsidR="005F0E2C" w:rsidRPr="00FF0C67">
        <w:instrText xml:space="preserve"> FORMTEXT </w:instrText>
      </w:r>
      <w:r w:rsidR="005F0E2C" w:rsidRPr="00495F1B">
        <w:rPr>
          <w:lang w:val="en-GB"/>
        </w:rPr>
      </w:r>
      <w:r w:rsidR="005F0E2C" w:rsidRPr="00495F1B">
        <w:rPr>
          <w:lang w:val="en-GB"/>
        </w:rPr>
        <w:fldChar w:fldCharType="separate"/>
      </w:r>
      <w:r w:rsidR="005F0E2C" w:rsidRPr="00495F1B">
        <w:rPr>
          <w:noProof/>
          <w:lang w:val="en-GB"/>
        </w:rPr>
        <w:t> </w:t>
      </w:r>
      <w:r w:rsidR="005F0E2C" w:rsidRPr="00495F1B">
        <w:rPr>
          <w:noProof/>
          <w:lang w:val="en-GB"/>
        </w:rPr>
        <w:t> </w:t>
      </w:r>
      <w:r w:rsidR="005F0E2C" w:rsidRPr="00495F1B">
        <w:rPr>
          <w:noProof/>
          <w:lang w:val="en-GB"/>
        </w:rPr>
        <w:t> </w:t>
      </w:r>
      <w:r w:rsidR="005F0E2C" w:rsidRPr="00495F1B">
        <w:rPr>
          <w:noProof/>
          <w:lang w:val="en-GB"/>
        </w:rPr>
        <w:t> </w:t>
      </w:r>
      <w:r w:rsidR="005F0E2C" w:rsidRPr="00495F1B">
        <w:rPr>
          <w:noProof/>
          <w:lang w:val="en-GB"/>
        </w:rPr>
        <w:t> </w:t>
      </w:r>
      <w:r w:rsidR="005F0E2C" w:rsidRPr="00495F1B">
        <w:rPr>
          <w:lang w:val="en-GB"/>
        </w:rPr>
        <w:fldChar w:fldCharType="end"/>
      </w:r>
    </w:p>
    <w:p w:rsidR="00E111F2" w:rsidRPr="00E50920" w:rsidRDefault="005F0E2C" w:rsidP="00E96AFF">
      <w:pPr>
        <w:tabs>
          <w:tab w:val="clear" w:pos="2552"/>
          <w:tab w:val="left" w:pos="1620"/>
        </w:tabs>
        <w:spacing w:before="60"/>
        <w:jc w:val="both"/>
      </w:pPr>
      <w:r w:rsidRPr="00FF0C67">
        <w:tab/>
      </w:r>
      <w:bookmarkStart w:id="2" w:name="Text6"/>
      <w:r w:rsidR="008D2149" w:rsidRPr="00FF0C67">
        <w:t>U</w:t>
      </w:r>
      <w:r w:rsidRPr="00FF0C67">
        <w:t>PIK/DUNS</w:t>
      </w:r>
      <w:r w:rsidR="00FF23AA" w:rsidRPr="00FF0C67">
        <w:t>-Nr</w:t>
      </w:r>
      <w:r w:rsidRPr="00FF0C67">
        <w:t xml:space="preserve">.: </w:t>
      </w:r>
      <w:r w:rsidRPr="00495F1B">
        <w:rPr>
          <w:lang w:val="en-GB"/>
        </w:rPr>
        <w:fldChar w:fldCharType="begin">
          <w:ffData>
            <w:name w:val="Text4"/>
            <w:enabled/>
            <w:calcOnExit w:val="0"/>
            <w:textInput/>
          </w:ffData>
        </w:fldChar>
      </w:r>
      <w:r w:rsidRPr="00FF0C67">
        <w:instrText xml:space="preserve"> FORMTEXT </w:instrText>
      </w:r>
      <w:r w:rsidRPr="00495F1B">
        <w:rPr>
          <w:lang w:val="en-GB"/>
        </w:rPr>
      </w:r>
      <w:r w:rsidRPr="00495F1B">
        <w:rPr>
          <w:lang w:val="en-GB"/>
        </w:rPr>
        <w:fldChar w:fldCharType="separate"/>
      </w:r>
      <w:r w:rsidRPr="00495F1B">
        <w:rPr>
          <w:noProof/>
          <w:lang w:val="en-GB"/>
        </w:rPr>
        <w:t> </w:t>
      </w:r>
      <w:r w:rsidRPr="00495F1B">
        <w:rPr>
          <w:noProof/>
          <w:lang w:val="en-GB"/>
        </w:rPr>
        <w:t> </w:t>
      </w:r>
      <w:r w:rsidRPr="00495F1B">
        <w:rPr>
          <w:noProof/>
          <w:lang w:val="en-GB"/>
        </w:rPr>
        <w:t> </w:t>
      </w:r>
      <w:r w:rsidRPr="00495F1B">
        <w:rPr>
          <w:noProof/>
          <w:lang w:val="en-GB"/>
        </w:rPr>
        <w:t> </w:t>
      </w:r>
      <w:r w:rsidRPr="00495F1B">
        <w:rPr>
          <w:noProof/>
          <w:lang w:val="en-GB"/>
        </w:rPr>
        <w:t> </w:t>
      </w:r>
      <w:r w:rsidRPr="00495F1B">
        <w:rPr>
          <w:lang w:val="en-GB"/>
        </w:rPr>
        <w:fldChar w:fldCharType="end"/>
      </w:r>
      <w:bookmarkEnd w:id="2"/>
    </w:p>
    <w:p w:rsidR="00E111F2" w:rsidRPr="00E50920" w:rsidRDefault="002A0F62" w:rsidP="002A0F62">
      <w:pPr>
        <w:pStyle w:val="StandardZentriert"/>
        <w:tabs>
          <w:tab w:val="clear" w:pos="2552"/>
          <w:tab w:val="clear" w:pos="4536"/>
          <w:tab w:val="clear" w:pos="6804"/>
          <w:tab w:val="left" w:pos="1620"/>
        </w:tabs>
        <w:jc w:val="left"/>
      </w:pPr>
      <w:r w:rsidRPr="00E50920">
        <w:tab/>
      </w:r>
    </w:p>
    <w:p w:rsidR="00695BE5" w:rsidRPr="00E50920" w:rsidRDefault="00E111F2" w:rsidP="002A0F62">
      <w:pPr>
        <w:pStyle w:val="StandardZentriert"/>
        <w:tabs>
          <w:tab w:val="clear" w:pos="2552"/>
          <w:tab w:val="clear" w:pos="4536"/>
          <w:tab w:val="clear" w:pos="6804"/>
          <w:tab w:val="left" w:pos="1620"/>
        </w:tabs>
        <w:jc w:val="left"/>
        <w:rPr>
          <w:szCs w:val="22"/>
        </w:rPr>
      </w:pPr>
      <w:r w:rsidRPr="00E50920">
        <w:tab/>
      </w:r>
      <w:r w:rsidR="002A0F62" w:rsidRPr="00E50920">
        <w:rPr>
          <w:szCs w:val="22"/>
        </w:rPr>
        <w:t>(</w:t>
      </w:r>
      <w:r w:rsidR="00FF23AA" w:rsidRPr="00E50920">
        <w:rPr>
          <w:szCs w:val="22"/>
        </w:rPr>
        <w:t>nachfolgend Lieferant genannt</w:t>
      </w:r>
      <w:r w:rsidR="002A0F62" w:rsidRPr="00E50920">
        <w:rPr>
          <w:szCs w:val="22"/>
        </w:rPr>
        <w:t>)</w:t>
      </w:r>
    </w:p>
    <w:p w:rsidR="002A0F62" w:rsidRPr="00E50920" w:rsidRDefault="002A0F62" w:rsidP="002A0F62"/>
    <w:p w:rsidR="002A0F62" w:rsidRPr="00E50920" w:rsidRDefault="002A0F62" w:rsidP="002A0F62"/>
    <w:p w:rsidR="002A0F62" w:rsidRPr="00E50920" w:rsidRDefault="002A0F62" w:rsidP="002A0F62"/>
    <w:p w:rsidR="002A0F62" w:rsidRPr="00E50920" w:rsidRDefault="002A0F62" w:rsidP="002A0F62"/>
    <w:p w:rsidR="002A0F62" w:rsidRPr="00E50920" w:rsidRDefault="002A0F62" w:rsidP="002A0F62"/>
    <w:p w:rsidR="00E96AFF" w:rsidRPr="00495F1B" w:rsidRDefault="00FF23AA" w:rsidP="00A277E7">
      <w:pPr>
        <w:tabs>
          <w:tab w:val="clear" w:pos="2552"/>
          <w:tab w:val="left" w:pos="1620"/>
        </w:tabs>
        <w:spacing w:before="60"/>
        <w:ind w:left="1620" w:hanging="1620"/>
        <w:rPr>
          <w:lang w:val="en-GB"/>
        </w:rPr>
      </w:pPr>
      <w:r>
        <w:rPr>
          <w:lang w:val="en-GB"/>
        </w:rPr>
        <w:t>u</w:t>
      </w:r>
      <w:r w:rsidR="002A0F62" w:rsidRPr="00495F1B">
        <w:rPr>
          <w:lang w:val="en-GB"/>
        </w:rPr>
        <w:t>nd</w:t>
      </w:r>
      <w:r w:rsidR="002A0F62" w:rsidRPr="00495F1B">
        <w:rPr>
          <w:lang w:val="en-GB"/>
        </w:rPr>
        <w:tab/>
      </w:r>
      <w:r w:rsidR="00E96AFF" w:rsidRPr="00495F1B">
        <w:rPr>
          <w:lang w:val="en-GB"/>
        </w:rPr>
        <w:fldChar w:fldCharType="begin">
          <w:ffData>
            <w:name w:val="Text4"/>
            <w:enabled/>
            <w:calcOnExit w:val="0"/>
            <w:textInput/>
          </w:ffData>
        </w:fldChar>
      </w:r>
      <w:r w:rsidR="00E96AFF" w:rsidRPr="00495F1B">
        <w:rPr>
          <w:lang w:val="en-GB"/>
        </w:rPr>
        <w:instrText xml:space="preserve"> FORMTEXT </w:instrText>
      </w:r>
      <w:r w:rsidR="00E96AFF" w:rsidRPr="00495F1B">
        <w:rPr>
          <w:lang w:val="en-GB"/>
        </w:rPr>
      </w:r>
      <w:r w:rsidR="00E96AFF" w:rsidRPr="00495F1B">
        <w:rPr>
          <w:lang w:val="en-GB"/>
        </w:rPr>
        <w:fldChar w:fldCharType="separate"/>
      </w:r>
      <w:r w:rsidR="00E96AFF" w:rsidRPr="00495F1B">
        <w:rPr>
          <w:noProof/>
          <w:lang w:val="en-GB"/>
        </w:rPr>
        <w:t> </w:t>
      </w:r>
      <w:r w:rsidR="00E96AFF" w:rsidRPr="00495F1B">
        <w:rPr>
          <w:noProof/>
          <w:lang w:val="en-GB"/>
        </w:rPr>
        <w:t> </w:t>
      </w:r>
      <w:r w:rsidR="00E96AFF" w:rsidRPr="00495F1B">
        <w:rPr>
          <w:noProof/>
          <w:lang w:val="en-GB"/>
        </w:rPr>
        <w:t> </w:t>
      </w:r>
      <w:r w:rsidR="00E96AFF" w:rsidRPr="00495F1B">
        <w:rPr>
          <w:noProof/>
          <w:lang w:val="en-GB"/>
        </w:rPr>
        <w:t> </w:t>
      </w:r>
      <w:r w:rsidR="00E96AFF" w:rsidRPr="00495F1B">
        <w:rPr>
          <w:noProof/>
          <w:lang w:val="en-GB"/>
        </w:rPr>
        <w:t> </w:t>
      </w:r>
      <w:r w:rsidR="00E96AFF" w:rsidRPr="00495F1B">
        <w:rPr>
          <w:lang w:val="en-GB"/>
        </w:rPr>
        <w:fldChar w:fldCharType="end"/>
      </w:r>
    </w:p>
    <w:p w:rsidR="00E96AFF" w:rsidRPr="00495F1B" w:rsidRDefault="00E96AFF" w:rsidP="00E96AFF">
      <w:pPr>
        <w:tabs>
          <w:tab w:val="clear" w:pos="2552"/>
          <w:tab w:val="left" w:pos="1620"/>
        </w:tabs>
        <w:spacing w:before="60"/>
        <w:ind w:left="1620"/>
        <w:rPr>
          <w:lang w:val="en-GB"/>
        </w:rPr>
      </w:pPr>
      <w:r w:rsidRPr="00495F1B">
        <w:rPr>
          <w:lang w:val="en-GB"/>
        </w:rPr>
        <w:fldChar w:fldCharType="begin">
          <w:ffData>
            <w:name w:val="Text4"/>
            <w:enabled/>
            <w:calcOnExit w:val="0"/>
            <w:textInput/>
          </w:ffData>
        </w:fldChar>
      </w:r>
      <w:r w:rsidRPr="00495F1B">
        <w:rPr>
          <w:lang w:val="en-GB"/>
        </w:rPr>
        <w:instrText xml:space="preserve"> FORMTEXT </w:instrText>
      </w:r>
      <w:r w:rsidRPr="00495F1B">
        <w:rPr>
          <w:lang w:val="en-GB"/>
        </w:rPr>
      </w:r>
      <w:r w:rsidRPr="00495F1B">
        <w:rPr>
          <w:lang w:val="en-GB"/>
        </w:rPr>
        <w:fldChar w:fldCharType="separate"/>
      </w:r>
      <w:r w:rsidRPr="00495F1B">
        <w:rPr>
          <w:noProof/>
          <w:lang w:val="en-GB"/>
        </w:rPr>
        <w:t> </w:t>
      </w:r>
      <w:r w:rsidRPr="00495F1B">
        <w:rPr>
          <w:noProof/>
          <w:lang w:val="en-GB"/>
        </w:rPr>
        <w:t> </w:t>
      </w:r>
      <w:r w:rsidRPr="00495F1B">
        <w:rPr>
          <w:noProof/>
          <w:lang w:val="en-GB"/>
        </w:rPr>
        <w:t> </w:t>
      </w:r>
      <w:r w:rsidRPr="00495F1B">
        <w:rPr>
          <w:noProof/>
          <w:lang w:val="en-GB"/>
        </w:rPr>
        <w:t> </w:t>
      </w:r>
      <w:r w:rsidRPr="00495F1B">
        <w:rPr>
          <w:noProof/>
          <w:lang w:val="en-GB"/>
        </w:rPr>
        <w:t> </w:t>
      </w:r>
      <w:r w:rsidRPr="00495F1B">
        <w:rPr>
          <w:lang w:val="en-GB"/>
        </w:rPr>
        <w:fldChar w:fldCharType="end"/>
      </w:r>
    </w:p>
    <w:p w:rsidR="00E96AFF" w:rsidRDefault="00E96AFF" w:rsidP="00E96AFF">
      <w:pPr>
        <w:tabs>
          <w:tab w:val="left" w:pos="1620"/>
        </w:tabs>
        <w:spacing w:before="60"/>
        <w:rPr>
          <w:lang w:val="en-GB"/>
        </w:rPr>
      </w:pPr>
      <w:r>
        <w:rPr>
          <w:lang w:val="en-GB"/>
        </w:rPr>
        <w:tab/>
      </w:r>
      <w:r w:rsidRPr="00495F1B">
        <w:rPr>
          <w:lang w:val="en-GB"/>
        </w:rPr>
        <w:fldChar w:fldCharType="begin">
          <w:ffData>
            <w:name w:val="Text4"/>
            <w:enabled/>
            <w:calcOnExit w:val="0"/>
            <w:textInput/>
          </w:ffData>
        </w:fldChar>
      </w:r>
      <w:r w:rsidRPr="00495F1B">
        <w:rPr>
          <w:lang w:val="en-GB"/>
        </w:rPr>
        <w:instrText xml:space="preserve"> FORMTEXT </w:instrText>
      </w:r>
      <w:r w:rsidRPr="00495F1B">
        <w:rPr>
          <w:lang w:val="en-GB"/>
        </w:rPr>
      </w:r>
      <w:r w:rsidRPr="00495F1B">
        <w:rPr>
          <w:lang w:val="en-GB"/>
        </w:rPr>
        <w:fldChar w:fldCharType="separate"/>
      </w:r>
      <w:r w:rsidRPr="00495F1B">
        <w:rPr>
          <w:noProof/>
          <w:lang w:val="en-GB"/>
        </w:rPr>
        <w:t> </w:t>
      </w:r>
      <w:r w:rsidRPr="00495F1B">
        <w:rPr>
          <w:noProof/>
          <w:lang w:val="en-GB"/>
        </w:rPr>
        <w:t> </w:t>
      </w:r>
      <w:r w:rsidRPr="00495F1B">
        <w:rPr>
          <w:noProof/>
          <w:lang w:val="en-GB"/>
        </w:rPr>
        <w:t> </w:t>
      </w:r>
      <w:r w:rsidRPr="00495F1B">
        <w:rPr>
          <w:noProof/>
          <w:lang w:val="en-GB"/>
        </w:rPr>
        <w:t> </w:t>
      </w:r>
      <w:r w:rsidRPr="00495F1B">
        <w:rPr>
          <w:noProof/>
          <w:lang w:val="en-GB"/>
        </w:rPr>
        <w:t> </w:t>
      </w:r>
      <w:r w:rsidRPr="00495F1B">
        <w:rPr>
          <w:lang w:val="en-GB"/>
        </w:rPr>
        <w:fldChar w:fldCharType="end"/>
      </w:r>
    </w:p>
    <w:p w:rsidR="00F03674" w:rsidRPr="00495F1B" w:rsidRDefault="00E96AFF" w:rsidP="00E96AFF">
      <w:pPr>
        <w:tabs>
          <w:tab w:val="left" w:pos="1620"/>
        </w:tabs>
        <w:spacing w:before="60"/>
        <w:rPr>
          <w:lang w:val="en-GB"/>
        </w:rPr>
      </w:pPr>
      <w:r>
        <w:rPr>
          <w:lang w:val="en-GB"/>
        </w:rPr>
        <w:tab/>
      </w:r>
      <w:r w:rsidRPr="00495F1B">
        <w:rPr>
          <w:lang w:val="en-GB"/>
        </w:rPr>
        <w:fldChar w:fldCharType="begin">
          <w:ffData>
            <w:name w:val="Text4"/>
            <w:enabled/>
            <w:calcOnExit w:val="0"/>
            <w:textInput/>
          </w:ffData>
        </w:fldChar>
      </w:r>
      <w:r w:rsidRPr="00495F1B">
        <w:rPr>
          <w:lang w:val="en-GB"/>
        </w:rPr>
        <w:instrText xml:space="preserve"> FORMTEXT </w:instrText>
      </w:r>
      <w:r w:rsidRPr="00495F1B">
        <w:rPr>
          <w:lang w:val="en-GB"/>
        </w:rPr>
      </w:r>
      <w:r w:rsidRPr="00495F1B">
        <w:rPr>
          <w:lang w:val="en-GB"/>
        </w:rPr>
        <w:fldChar w:fldCharType="separate"/>
      </w:r>
      <w:r w:rsidRPr="00495F1B">
        <w:rPr>
          <w:noProof/>
          <w:lang w:val="en-GB"/>
        </w:rPr>
        <w:t> </w:t>
      </w:r>
      <w:r w:rsidRPr="00495F1B">
        <w:rPr>
          <w:noProof/>
          <w:lang w:val="en-GB"/>
        </w:rPr>
        <w:t> </w:t>
      </w:r>
      <w:r w:rsidRPr="00495F1B">
        <w:rPr>
          <w:noProof/>
          <w:lang w:val="en-GB"/>
        </w:rPr>
        <w:t> </w:t>
      </w:r>
      <w:r w:rsidRPr="00495F1B">
        <w:rPr>
          <w:noProof/>
          <w:lang w:val="en-GB"/>
        </w:rPr>
        <w:t> </w:t>
      </w:r>
      <w:r w:rsidRPr="00495F1B">
        <w:rPr>
          <w:noProof/>
          <w:lang w:val="en-GB"/>
        </w:rPr>
        <w:t> </w:t>
      </w:r>
      <w:r w:rsidRPr="00495F1B">
        <w:rPr>
          <w:lang w:val="en-GB"/>
        </w:rPr>
        <w:fldChar w:fldCharType="end"/>
      </w:r>
    </w:p>
    <w:p w:rsidR="002A0F62" w:rsidRPr="00495F1B" w:rsidRDefault="002A0F62" w:rsidP="002A0F62">
      <w:pPr>
        <w:rPr>
          <w:lang w:val="en-GB"/>
        </w:rPr>
      </w:pPr>
    </w:p>
    <w:p w:rsidR="00695BE5" w:rsidRPr="00135454" w:rsidRDefault="002A0F62" w:rsidP="0092428E">
      <w:pPr>
        <w:pStyle w:val="StandardZentriert"/>
        <w:tabs>
          <w:tab w:val="clear" w:pos="2552"/>
          <w:tab w:val="left" w:pos="1620"/>
        </w:tabs>
        <w:jc w:val="left"/>
        <w:rPr>
          <w:szCs w:val="22"/>
        </w:rPr>
      </w:pPr>
      <w:r w:rsidRPr="00135454">
        <w:rPr>
          <w:lang w:val="en-GB"/>
        </w:rPr>
        <w:tab/>
      </w:r>
      <w:r w:rsidRPr="00FF0C67">
        <w:rPr>
          <w:szCs w:val="22"/>
        </w:rPr>
        <w:t>(</w:t>
      </w:r>
      <w:r w:rsidR="00FF23AA" w:rsidRPr="00FF0C67">
        <w:rPr>
          <w:szCs w:val="22"/>
        </w:rPr>
        <w:t>nachfolgend Kunde</w:t>
      </w:r>
      <w:r w:rsidR="0092428E" w:rsidRPr="00FF0C67">
        <w:rPr>
          <w:szCs w:val="22"/>
        </w:rPr>
        <w:t xml:space="preserve"> </w:t>
      </w:r>
      <w:r w:rsidR="0004155F" w:rsidRPr="00135454">
        <w:rPr>
          <w:szCs w:val="22"/>
        </w:rPr>
        <w:t>genannt</w:t>
      </w:r>
      <w:r w:rsidRPr="00135454">
        <w:rPr>
          <w:szCs w:val="22"/>
        </w:rPr>
        <w:t>)</w:t>
      </w:r>
    </w:p>
    <w:p w:rsidR="00AE0506" w:rsidRPr="00135454" w:rsidRDefault="00AE0506" w:rsidP="00695BE5">
      <w:pPr>
        <w:rPr>
          <w:szCs w:val="22"/>
          <w:u w:val="single"/>
        </w:rPr>
      </w:pPr>
    </w:p>
    <w:p w:rsidR="00AE0506" w:rsidRPr="00135454" w:rsidRDefault="00AE0506" w:rsidP="00695BE5">
      <w:pPr>
        <w:rPr>
          <w:u w:val="single"/>
        </w:rPr>
      </w:pPr>
    </w:p>
    <w:p w:rsidR="00AE0506" w:rsidRPr="00135454" w:rsidRDefault="00AE0506" w:rsidP="00695BE5">
      <w:pPr>
        <w:rPr>
          <w:u w:val="single"/>
        </w:rPr>
      </w:pPr>
    </w:p>
    <w:p w:rsidR="002A0F62" w:rsidRPr="00135454" w:rsidRDefault="002A0F62" w:rsidP="00695BE5">
      <w:pPr>
        <w:rPr>
          <w:u w:val="single"/>
        </w:rPr>
      </w:pPr>
    </w:p>
    <w:p w:rsidR="002A0F62" w:rsidRPr="00135454" w:rsidRDefault="002A0F62" w:rsidP="00695BE5">
      <w:pPr>
        <w:rPr>
          <w:u w:val="single"/>
        </w:rPr>
      </w:pPr>
    </w:p>
    <w:p w:rsidR="002A0F62" w:rsidRPr="00135454" w:rsidRDefault="002A0F62" w:rsidP="00695BE5">
      <w:pPr>
        <w:rPr>
          <w:u w:val="single"/>
        </w:rPr>
      </w:pPr>
    </w:p>
    <w:p w:rsidR="00F03674" w:rsidRPr="00135454" w:rsidRDefault="00F03674" w:rsidP="00695BE5">
      <w:pPr>
        <w:rPr>
          <w:u w:val="single"/>
        </w:rPr>
      </w:pPr>
    </w:p>
    <w:p w:rsidR="00F03674" w:rsidRPr="00135454" w:rsidRDefault="00F03674" w:rsidP="00695BE5">
      <w:pPr>
        <w:rPr>
          <w:u w:val="single"/>
        </w:rPr>
      </w:pPr>
    </w:p>
    <w:p w:rsidR="002A0F62" w:rsidRPr="00135454" w:rsidRDefault="002A0F62" w:rsidP="00695BE5">
      <w:pPr>
        <w:rPr>
          <w:u w:val="single"/>
        </w:rPr>
      </w:pPr>
    </w:p>
    <w:p w:rsidR="00695BE5" w:rsidRPr="00135454" w:rsidRDefault="00E91383" w:rsidP="002A0F62">
      <w:pPr>
        <w:pStyle w:val="StandardBlock"/>
        <w:rPr>
          <w:sz w:val="8"/>
          <w:u w:val="single"/>
          <w:lang w:val="de-DE"/>
        </w:rPr>
      </w:pPr>
      <w:r w:rsidRPr="00135454">
        <w:rPr>
          <w:b/>
          <w:lang w:val="de-DE"/>
        </w:rPr>
        <w:t>Präambel</w:t>
      </w:r>
    </w:p>
    <w:p w:rsidR="00460C5D" w:rsidRPr="00FF0C67" w:rsidRDefault="0004155F" w:rsidP="00257AF3">
      <w:pPr>
        <w:pStyle w:val="StandardBlock"/>
        <w:rPr>
          <w:lang w:val="de-DE"/>
        </w:rPr>
      </w:pPr>
      <w:r w:rsidRPr="00135454">
        <w:rPr>
          <w:lang w:val="de-DE"/>
        </w:rPr>
        <w:t>Die Wettbewerbsfähigkeit und Position auf dem Weltmarkt wird durch die Qualität ihrer Produkte entscheidend bestimmt. Die einwandfreie Beschaffenheit und Zuverlässigkeit der zugekauften Produkte (Rohstoffe, Komponenten) haben unmittelbaren Einfluss auf die Qualität d</w:t>
      </w:r>
      <w:r w:rsidRPr="00FF0C67">
        <w:rPr>
          <w:lang w:val="de-DE"/>
        </w:rPr>
        <w:t xml:space="preserve">er Erzeugnisse </w:t>
      </w:r>
      <w:r w:rsidRPr="00135454">
        <w:rPr>
          <w:lang w:val="de-DE"/>
        </w:rPr>
        <w:t>der</w:t>
      </w:r>
      <w:r w:rsidR="00E91383" w:rsidRPr="00135454">
        <w:rPr>
          <w:lang w:val="de-DE"/>
        </w:rPr>
        <w:t xml:space="preserve"> </w:t>
      </w:r>
      <w:r w:rsidR="005F0E2C" w:rsidRPr="00FF0C67">
        <w:rPr>
          <w:lang w:val="de-DE"/>
        </w:rPr>
        <w:t>Schaeffler Gr</w:t>
      </w:r>
      <w:r w:rsidR="00E91383" w:rsidRPr="00135454">
        <w:rPr>
          <w:lang w:val="de-DE"/>
        </w:rPr>
        <w:t>uppe</w:t>
      </w:r>
      <w:r w:rsidR="00E96AFF" w:rsidRPr="00FF0C67">
        <w:rPr>
          <w:lang w:val="de-DE"/>
        </w:rPr>
        <w:t>.</w:t>
      </w:r>
    </w:p>
    <w:p w:rsidR="00A02E1F" w:rsidRPr="00FF0C67" w:rsidRDefault="00A02E1F" w:rsidP="00A02E1F">
      <w:pPr>
        <w:pStyle w:val="StandardBlock"/>
        <w:rPr>
          <w:lang w:val="de-DE"/>
        </w:rPr>
      </w:pPr>
      <w:r w:rsidRPr="00FF0C67">
        <w:rPr>
          <w:lang w:val="de-DE"/>
        </w:rPr>
        <w:t>Diese Qualitätssicherungsvereinbarung</w:t>
      </w:r>
      <w:r w:rsidRPr="00135454">
        <w:rPr>
          <w:lang w:val="de-DE"/>
        </w:rPr>
        <w:t xml:space="preserve"> mit Aerospace-Lieferanten (QSV / S296004)</w:t>
      </w:r>
      <w:r w:rsidRPr="00FF0C67">
        <w:rPr>
          <w:lang w:val="de-DE"/>
        </w:rPr>
        <w:t xml:space="preserve"> ist die vertragliche Festlegung der technischen und organisatorischen Rahmenbedingungen </w:t>
      </w:r>
      <w:r w:rsidR="00543AA7" w:rsidRPr="00135454">
        <w:rPr>
          <w:lang w:val="de-DE"/>
        </w:rPr>
        <w:t xml:space="preserve">sämtlicher Lieferungen und </w:t>
      </w:r>
      <w:r w:rsidR="000B2ED3" w:rsidRPr="00135454">
        <w:rPr>
          <w:lang w:val="de-DE"/>
        </w:rPr>
        <w:t>Dienstleistungen</w:t>
      </w:r>
      <w:r w:rsidR="00543AA7" w:rsidRPr="00135454">
        <w:rPr>
          <w:lang w:val="de-DE"/>
        </w:rPr>
        <w:t xml:space="preserve"> für den</w:t>
      </w:r>
      <w:r w:rsidRPr="00FF0C67">
        <w:rPr>
          <w:lang w:val="de-DE"/>
        </w:rPr>
        <w:t xml:space="preserve"> Kunde</w:t>
      </w:r>
      <w:r w:rsidR="00543AA7" w:rsidRPr="00135454">
        <w:rPr>
          <w:lang w:val="de-DE"/>
        </w:rPr>
        <w:t>n</w:t>
      </w:r>
      <w:r w:rsidR="00044545" w:rsidRPr="00135454">
        <w:rPr>
          <w:lang w:val="de-DE"/>
        </w:rPr>
        <w:t>, die zur Erhalt</w:t>
      </w:r>
      <w:r w:rsidRPr="00FF0C67">
        <w:rPr>
          <w:lang w:val="de-DE"/>
        </w:rPr>
        <w:t>ung de</w:t>
      </w:r>
      <w:r w:rsidR="00543AA7" w:rsidRPr="00135454">
        <w:rPr>
          <w:lang w:val="de-DE"/>
        </w:rPr>
        <w:t>s</w:t>
      </w:r>
      <w:r w:rsidRPr="00FF0C67">
        <w:rPr>
          <w:lang w:val="de-DE"/>
        </w:rPr>
        <w:t xml:space="preserve"> Qualitätszieles </w:t>
      </w:r>
      <w:r w:rsidR="00543AA7" w:rsidRPr="00135454">
        <w:rPr>
          <w:lang w:val="de-DE"/>
        </w:rPr>
        <w:t>„</w:t>
      </w:r>
      <w:r w:rsidR="00884113" w:rsidRPr="00135454">
        <w:rPr>
          <w:lang w:val="de-DE"/>
        </w:rPr>
        <w:t>Null-Fehler“</w:t>
      </w:r>
      <w:r w:rsidR="00543AA7" w:rsidRPr="00135454">
        <w:rPr>
          <w:lang w:val="de-DE"/>
        </w:rPr>
        <w:t xml:space="preserve"> </w:t>
      </w:r>
      <w:r w:rsidRPr="00FF0C67">
        <w:rPr>
          <w:lang w:val="de-DE"/>
        </w:rPr>
        <w:t>erforderlich sind. Sie beschreibt die Mindestanforderung an das Managementsystem d</w:t>
      </w:r>
      <w:r w:rsidR="00044545" w:rsidRPr="00135454">
        <w:rPr>
          <w:lang w:val="de-DE"/>
        </w:rPr>
        <w:t>es Lieferanten</w:t>
      </w:r>
      <w:r w:rsidRPr="00FF0C67">
        <w:rPr>
          <w:lang w:val="de-DE"/>
        </w:rPr>
        <w:t xml:space="preserve"> im Hinblick auf die Qualitätssicherung</w:t>
      </w:r>
      <w:r w:rsidR="00044545" w:rsidRPr="00135454">
        <w:rPr>
          <w:lang w:val="de-DE"/>
        </w:rPr>
        <w:t xml:space="preserve"> und gilt zusätzlich zu den kundenspezifischen und regulatorischen Anforderungen</w:t>
      </w:r>
      <w:r w:rsidRPr="00FF0C67">
        <w:rPr>
          <w:lang w:val="de-DE"/>
        </w:rPr>
        <w:t xml:space="preserve">. </w:t>
      </w:r>
    </w:p>
    <w:p w:rsidR="00A02E1F" w:rsidRPr="00FF0C67" w:rsidRDefault="00A02E1F" w:rsidP="00A02E1F">
      <w:pPr>
        <w:pStyle w:val="StandardBlock"/>
        <w:rPr>
          <w:lang w:val="de-DE"/>
        </w:rPr>
      </w:pPr>
      <w:r w:rsidRPr="00FF0C67">
        <w:rPr>
          <w:lang w:val="de-DE"/>
        </w:rPr>
        <w:t xml:space="preserve">Der Abschluss dieser Qualitätssicherungsvereinbarung stellt einen unverzichtbaren Schritt </w:t>
      </w:r>
      <w:r w:rsidR="00552354" w:rsidRPr="00FF0C67">
        <w:rPr>
          <w:lang w:val="de-DE"/>
        </w:rPr>
        <w:t xml:space="preserve">für eine gemeinsame geschäftliche Zukunft mit der Schaeffler </w:t>
      </w:r>
      <w:r w:rsidR="00552354">
        <w:rPr>
          <w:lang w:val="de-DE"/>
        </w:rPr>
        <w:t>Gruppe</w:t>
      </w:r>
      <w:r w:rsidR="00552354" w:rsidRPr="00FF0C67">
        <w:rPr>
          <w:lang w:val="de-DE"/>
        </w:rPr>
        <w:t xml:space="preserve"> dar</w:t>
      </w:r>
      <w:r w:rsidRPr="00FF0C67">
        <w:rPr>
          <w:lang w:val="de-DE"/>
        </w:rPr>
        <w:t>.</w:t>
      </w:r>
    </w:p>
    <w:p w:rsidR="00A02E1F" w:rsidRPr="00FF0C67" w:rsidRDefault="00A02E1F" w:rsidP="00257AF3">
      <w:pPr>
        <w:pStyle w:val="StandardBlock"/>
        <w:rPr>
          <w:lang w:val="de-DE"/>
        </w:rPr>
      </w:pPr>
    </w:p>
    <w:p w:rsidR="00695BE5" w:rsidRDefault="00BA1EA8" w:rsidP="009A31AF">
      <w:pPr>
        <w:pStyle w:val="StandardZentriert"/>
        <w:spacing w:before="80" w:after="120"/>
        <w:jc w:val="left"/>
        <w:rPr>
          <w:b/>
          <w:sz w:val="28"/>
          <w:szCs w:val="28"/>
          <w:lang w:val="en-GB"/>
        </w:rPr>
      </w:pPr>
      <w:r w:rsidRPr="00FF0C67">
        <w:br w:type="page"/>
      </w:r>
      <w:r w:rsidR="00010823">
        <w:rPr>
          <w:b/>
          <w:sz w:val="28"/>
          <w:szCs w:val="28"/>
          <w:lang w:val="en-GB"/>
        </w:rPr>
        <w:lastRenderedPageBreak/>
        <w:t>Inhalt</w:t>
      </w:r>
      <w:r w:rsidR="006A720B">
        <w:rPr>
          <w:b/>
          <w:sz w:val="28"/>
          <w:szCs w:val="28"/>
          <w:lang w:val="en-GB"/>
        </w:rPr>
        <w:t>sverzeichnis</w:t>
      </w:r>
    </w:p>
    <w:p w:rsidR="00010823" w:rsidRPr="00010823" w:rsidRDefault="00010823" w:rsidP="00010823">
      <w:pPr>
        <w:rPr>
          <w:lang w:val="en-GB"/>
        </w:rPr>
      </w:pPr>
    </w:p>
    <w:p w:rsidR="00014085" w:rsidRDefault="00695BE5" w:rsidP="00010823">
      <w:pPr>
        <w:pStyle w:val="Verzeichnis1"/>
        <w:tabs>
          <w:tab w:val="right" w:leader="dot" w:pos="9624"/>
        </w:tabs>
        <w:rPr>
          <w:rStyle w:val="Hyperlink"/>
        </w:rPr>
      </w:pPr>
      <w:r w:rsidRPr="00495F1B">
        <w:rPr>
          <w:lang w:val="en-GB"/>
        </w:rPr>
        <w:fldChar w:fldCharType="begin"/>
      </w:r>
      <w:r w:rsidRPr="00495F1B">
        <w:rPr>
          <w:lang w:val="en-GB"/>
        </w:rPr>
        <w:instrText xml:space="preserve"> TOC \o "1-3" \h \z \u </w:instrText>
      </w:r>
      <w:r w:rsidRPr="00495F1B">
        <w:rPr>
          <w:lang w:val="en-GB"/>
        </w:rPr>
        <w:fldChar w:fldCharType="separate"/>
      </w:r>
      <w:hyperlink w:anchor="_Toc507057521" w:history="1">
        <w:r w:rsidR="00014085" w:rsidRPr="007F095E">
          <w:rPr>
            <w:rStyle w:val="Hyperlink"/>
          </w:rPr>
          <w:t>1</w:t>
        </w:r>
        <w:r w:rsidR="00014085" w:rsidRPr="00F216AF">
          <w:rPr>
            <w:rFonts w:ascii="Calibri" w:hAnsi="Calibri"/>
            <w:szCs w:val="22"/>
          </w:rPr>
          <w:tab/>
        </w:r>
        <w:r w:rsidR="00014085" w:rsidRPr="007F095E">
          <w:rPr>
            <w:rStyle w:val="Hyperlink"/>
          </w:rPr>
          <w:t>Verantwortung des Lieferanten für die Qualität seiner Produkte und Dienstleistungen</w:t>
        </w:r>
        <w:r w:rsidR="00014085">
          <w:rPr>
            <w:webHidden/>
          </w:rPr>
          <w:tab/>
        </w:r>
        <w:r w:rsidR="00014085">
          <w:rPr>
            <w:webHidden/>
          </w:rPr>
          <w:fldChar w:fldCharType="begin"/>
        </w:r>
        <w:r w:rsidR="00014085">
          <w:rPr>
            <w:webHidden/>
          </w:rPr>
          <w:instrText xml:space="preserve"> PAGEREF _Toc507057521 \h </w:instrText>
        </w:r>
        <w:r w:rsidR="00014085">
          <w:rPr>
            <w:webHidden/>
          </w:rPr>
        </w:r>
        <w:r w:rsidR="00014085">
          <w:rPr>
            <w:webHidden/>
          </w:rPr>
          <w:fldChar w:fldCharType="separate"/>
        </w:r>
        <w:r w:rsidR="00E73D8A">
          <w:rPr>
            <w:webHidden/>
          </w:rPr>
          <w:t>3</w:t>
        </w:r>
        <w:r w:rsidR="00014085">
          <w:rPr>
            <w:webHidden/>
          </w:rPr>
          <w:fldChar w:fldCharType="end"/>
        </w:r>
      </w:hyperlink>
    </w:p>
    <w:p w:rsidR="00010823" w:rsidRPr="00010823" w:rsidRDefault="00010823" w:rsidP="00010823">
      <w:pPr>
        <w:rPr>
          <w:noProof/>
        </w:rPr>
      </w:pPr>
    </w:p>
    <w:p w:rsidR="00014085" w:rsidRPr="00F216AF" w:rsidRDefault="00F95E3B" w:rsidP="00010823">
      <w:pPr>
        <w:pStyle w:val="Verzeichnis1"/>
        <w:tabs>
          <w:tab w:val="right" w:leader="dot" w:pos="9624"/>
        </w:tabs>
        <w:rPr>
          <w:rFonts w:ascii="Calibri" w:hAnsi="Calibri"/>
          <w:szCs w:val="22"/>
        </w:rPr>
      </w:pPr>
      <w:hyperlink w:anchor="_Toc507057522" w:history="1">
        <w:r w:rsidR="00014085" w:rsidRPr="007F095E">
          <w:rPr>
            <w:rStyle w:val="Hyperlink"/>
            <w:lang w:val="en-GB"/>
          </w:rPr>
          <w:t>2</w:t>
        </w:r>
        <w:r w:rsidR="00014085" w:rsidRPr="00F216AF">
          <w:rPr>
            <w:rFonts w:ascii="Calibri" w:hAnsi="Calibri"/>
            <w:szCs w:val="22"/>
          </w:rPr>
          <w:tab/>
        </w:r>
        <w:r w:rsidR="00014085" w:rsidRPr="007F095E">
          <w:rPr>
            <w:rStyle w:val="Hyperlink"/>
            <w:lang w:val="en-GB"/>
          </w:rPr>
          <w:t>Qualitätsmanagementsystem</w:t>
        </w:r>
        <w:r w:rsidR="00014085">
          <w:rPr>
            <w:webHidden/>
          </w:rPr>
          <w:tab/>
        </w:r>
        <w:r w:rsidR="00014085">
          <w:rPr>
            <w:webHidden/>
          </w:rPr>
          <w:fldChar w:fldCharType="begin"/>
        </w:r>
        <w:r w:rsidR="00014085">
          <w:rPr>
            <w:webHidden/>
          </w:rPr>
          <w:instrText xml:space="preserve"> PAGEREF _Toc507057522 \h </w:instrText>
        </w:r>
        <w:r w:rsidR="00014085">
          <w:rPr>
            <w:webHidden/>
          </w:rPr>
        </w:r>
        <w:r w:rsidR="00014085">
          <w:rPr>
            <w:webHidden/>
          </w:rPr>
          <w:fldChar w:fldCharType="separate"/>
        </w:r>
        <w:r w:rsidR="00E73D8A">
          <w:rPr>
            <w:webHidden/>
          </w:rPr>
          <w:t>3</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23" w:history="1">
        <w:r w:rsidR="00014085" w:rsidRPr="007F095E">
          <w:rPr>
            <w:rStyle w:val="Hyperlink"/>
          </w:rPr>
          <w:t>2.1</w:t>
        </w:r>
        <w:r w:rsidR="00014085" w:rsidRPr="00F216AF">
          <w:rPr>
            <w:rFonts w:ascii="Calibri" w:hAnsi="Calibri"/>
            <w:szCs w:val="22"/>
          </w:rPr>
          <w:tab/>
        </w:r>
        <w:r w:rsidR="00014085" w:rsidRPr="007F095E">
          <w:rPr>
            <w:rStyle w:val="Hyperlink"/>
          </w:rPr>
          <w:t>Allgemeines</w:t>
        </w:r>
        <w:r w:rsidR="00014085">
          <w:rPr>
            <w:webHidden/>
          </w:rPr>
          <w:tab/>
        </w:r>
        <w:r w:rsidR="00014085">
          <w:rPr>
            <w:webHidden/>
          </w:rPr>
          <w:fldChar w:fldCharType="begin"/>
        </w:r>
        <w:r w:rsidR="00014085">
          <w:rPr>
            <w:webHidden/>
          </w:rPr>
          <w:instrText xml:space="preserve"> PAGEREF _Toc507057523 \h </w:instrText>
        </w:r>
        <w:r w:rsidR="00014085">
          <w:rPr>
            <w:webHidden/>
          </w:rPr>
        </w:r>
        <w:r w:rsidR="00014085">
          <w:rPr>
            <w:webHidden/>
          </w:rPr>
          <w:fldChar w:fldCharType="separate"/>
        </w:r>
        <w:r w:rsidR="00E73D8A">
          <w:rPr>
            <w:webHidden/>
          </w:rPr>
          <w:t>3</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24" w:history="1">
        <w:r w:rsidR="00014085" w:rsidRPr="007F095E">
          <w:rPr>
            <w:rStyle w:val="Hyperlink"/>
          </w:rPr>
          <w:t>2.2</w:t>
        </w:r>
        <w:r w:rsidR="00014085" w:rsidRPr="00F216AF">
          <w:rPr>
            <w:rFonts w:ascii="Calibri" w:hAnsi="Calibri"/>
            <w:szCs w:val="22"/>
          </w:rPr>
          <w:tab/>
        </w:r>
        <w:r w:rsidR="00014085" w:rsidRPr="007F095E">
          <w:rPr>
            <w:rStyle w:val="Hyperlink"/>
          </w:rPr>
          <w:t>Nachweis des Qualitätsmanagementsystem</w:t>
        </w:r>
        <w:r w:rsidR="00014085">
          <w:rPr>
            <w:webHidden/>
          </w:rPr>
          <w:tab/>
        </w:r>
        <w:r w:rsidR="00014085">
          <w:rPr>
            <w:webHidden/>
          </w:rPr>
          <w:fldChar w:fldCharType="begin"/>
        </w:r>
        <w:r w:rsidR="00014085">
          <w:rPr>
            <w:webHidden/>
          </w:rPr>
          <w:instrText xml:space="preserve"> PAGEREF _Toc507057524 \h </w:instrText>
        </w:r>
        <w:r w:rsidR="00014085">
          <w:rPr>
            <w:webHidden/>
          </w:rPr>
        </w:r>
        <w:r w:rsidR="00014085">
          <w:rPr>
            <w:webHidden/>
          </w:rPr>
          <w:fldChar w:fldCharType="separate"/>
        </w:r>
        <w:r w:rsidR="00E73D8A">
          <w:rPr>
            <w:webHidden/>
          </w:rPr>
          <w:t>3</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25" w:history="1">
        <w:r w:rsidR="00014085" w:rsidRPr="007F095E">
          <w:rPr>
            <w:rStyle w:val="Hyperlink"/>
          </w:rPr>
          <w:t>2.3</w:t>
        </w:r>
        <w:r w:rsidR="00014085" w:rsidRPr="00F216AF">
          <w:rPr>
            <w:rFonts w:ascii="Calibri" w:hAnsi="Calibri"/>
            <w:szCs w:val="22"/>
          </w:rPr>
          <w:tab/>
        </w:r>
        <w:r w:rsidR="00014085" w:rsidRPr="007F095E">
          <w:rPr>
            <w:rStyle w:val="Hyperlink"/>
          </w:rPr>
          <w:t>Überprüfung des Qualitätsmanagementsystem, der Prozess- bzw. Produktqualität</w:t>
        </w:r>
        <w:r w:rsidR="00014085">
          <w:rPr>
            <w:webHidden/>
          </w:rPr>
          <w:tab/>
        </w:r>
        <w:r w:rsidR="00014085">
          <w:rPr>
            <w:webHidden/>
          </w:rPr>
          <w:fldChar w:fldCharType="begin"/>
        </w:r>
        <w:r w:rsidR="00014085">
          <w:rPr>
            <w:webHidden/>
          </w:rPr>
          <w:instrText xml:space="preserve"> PAGEREF _Toc507057525 \h </w:instrText>
        </w:r>
        <w:r w:rsidR="00014085">
          <w:rPr>
            <w:webHidden/>
          </w:rPr>
        </w:r>
        <w:r w:rsidR="00014085">
          <w:rPr>
            <w:webHidden/>
          </w:rPr>
          <w:fldChar w:fldCharType="separate"/>
        </w:r>
        <w:r w:rsidR="00E73D8A">
          <w:rPr>
            <w:webHidden/>
          </w:rPr>
          <w:t>4</w:t>
        </w:r>
        <w:r w:rsidR="00014085">
          <w:rPr>
            <w:webHidden/>
          </w:rPr>
          <w:fldChar w:fldCharType="end"/>
        </w:r>
      </w:hyperlink>
    </w:p>
    <w:p w:rsidR="00014085" w:rsidRDefault="00F95E3B" w:rsidP="00010823">
      <w:pPr>
        <w:pStyle w:val="Verzeichnis1"/>
        <w:tabs>
          <w:tab w:val="right" w:leader="dot" w:pos="9624"/>
        </w:tabs>
        <w:rPr>
          <w:rStyle w:val="Hyperlink"/>
        </w:rPr>
      </w:pPr>
      <w:hyperlink w:anchor="_Toc507057526" w:history="1">
        <w:r w:rsidR="00014085" w:rsidRPr="007F095E">
          <w:rPr>
            <w:rStyle w:val="Hyperlink"/>
            <w:lang w:val="en-GB"/>
          </w:rPr>
          <w:t>3</w:t>
        </w:r>
        <w:r w:rsidR="00014085" w:rsidRPr="00F216AF">
          <w:rPr>
            <w:rFonts w:ascii="Calibri" w:hAnsi="Calibri"/>
            <w:szCs w:val="22"/>
          </w:rPr>
          <w:tab/>
        </w:r>
        <w:r w:rsidR="00014085" w:rsidRPr="007F095E">
          <w:rPr>
            <w:rStyle w:val="Hyperlink"/>
            <w:lang w:val="en-GB"/>
          </w:rPr>
          <w:t>Grundsätzliche Voraussetzungen und Maßnahmen</w:t>
        </w:r>
        <w:r w:rsidR="00014085">
          <w:rPr>
            <w:webHidden/>
          </w:rPr>
          <w:tab/>
        </w:r>
        <w:r w:rsidR="00014085">
          <w:rPr>
            <w:webHidden/>
          </w:rPr>
          <w:fldChar w:fldCharType="begin"/>
        </w:r>
        <w:r w:rsidR="00014085">
          <w:rPr>
            <w:webHidden/>
          </w:rPr>
          <w:instrText xml:space="preserve"> PAGEREF _Toc507057526 \h </w:instrText>
        </w:r>
        <w:r w:rsidR="00014085">
          <w:rPr>
            <w:webHidden/>
          </w:rPr>
        </w:r>
        <w:r w:rsidR="00014085">
          <w:rPr>
            <w:webHidden/>
          </w:rPr>
          <w:fldChar w:fldCharType="separate"/>
        </w:r>
        <w:r w:rsidR="00E73D8A">
          <w:rPr>
            <w:webHidden/>
          </w:rPr>
          <w:t>4</w:t>
        </w:r>
        <w:r w:rsidR="00014085">
          <w:rPr>
            <w:webHidden/>
          </w:rPr>
          <w:fldChar w:fldCharType="end"/>
        </w:r>
      </w:hyperlink>
    </w:p>
    <w:p w:rsidR="00010823" w:rsidRPr="00010823" w:rsidRDefault="00010823" w:rsidP="00010823">
      <w:pPr>
        <w:rPr>
          <w:noProof/>
        </w:rPr>
      </w:pPr>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27" w:history="1">
        <w:r w:rsidR="00014085" w:rsidRPr="007F095E">
          <w:rPr>
            <w:rStyle w:val="Hyperlink"/>
          </w:rPr>
          <w:t>3.1</w:t>
        </w:r>
        <w:r w:rsidR="00014085" w:rsidRPr="00F216AF">
          <w:rPr>
            <w:rFonts w:ascii="Calibri" w:hAnsi="Calibri"/>
            <w:szCs w:val="22"/>
          </w:rPr>
          <w:tab/>
        </w:r>
        <w:r w:rsidR="00014085" w:rsidRPr="007F095E">
          <w:rPr>
            <w:rStyle w:val="Hyperlink"/>
          </w:rPr>
          <w:t>Technische Unterlagen</w:t>
        </w:r>
        <w:r w:rsidR="00014085">
          <w:rPr>
            <w:webHidden/>
          </w:rPr>
          <w:tab/>
        </w:r>
        <w:r w:rsidR="00014085">
          <w:rPr>
            <w:webHidden/>
          </w:rPr>
          <w:fldChar w:fldCharType="begin"/>
        </w:r>
        <w:r w:rsidR="00014085">
          <w:rPr>
            <w:webHidden/>
          </w:rPr>
          <w:instrText xml:space="preserve"> PAGEREF _Toc507057527 \h </w:instrText>
        </w:r>
        <w:r w:rsidR="00014085">
          <w:rPr>
            <w:webHidden/>
          </w:rPr>
        </w:r>
        <w:r w:rsidR="00014085">
          <w:rPr>
            <w:webHidden/>
          </w:rPr>
          <w:fldChar w:fldCharType="separate"/>
        </w:r>
        <w:r w:rsidR="00E73D8A">
          <w:rPr>
            <w:webHidden/>
          </w:rPr>
          <w:t>4</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28" w:history="1">
        <w:r w:rsidR="00014085" w:rsidRPr="007F095E">
          <w:rPr>
            <w:rStyle w:val="Hyperlink"/>
          </w:rPr>
          <w:t>3.2</w:t>
        </w:r>
        <w:r w:rsidR="00014085" w:rsidRPr="00F216AF">
          <w:rPr>
            <w:rFonts w:ascii="Calibri" w:hAnsi="Calibri"/>
            <w:szCs w:val="22"/>
          </w:rPr>
          <w:tab/>
        </w:r>
        <w:r w:rsidR="00014085" w:rsidRPr="007F095E">
          <w:rPr>
            <w:rStyle w:val="Hyperlink"/>
          </w:rPr>
          <w:t>Qualitätsvorausplanung</w:t>
        </w:r>
        <w:r w:rsidR="00014085">
          <w:rPr>
            <w:webHidden/>
          </w:rPr>
          <w:tab/>
        </w:r>
        <w:r w:rsidR="00014085">
          <w:rPr>
            <w:webHidden/>
          </w:rPr>
          <w:fldChar w:fldCharType="begin"/>
        </w:r>
        <w:r w:rsidR="00014085">
          <w:rPr>
            <w:webHidden/>
          </w:rPr>
          <w:instrText xml:space="preserve"> PAGEREF _Toc507057528 \h </w:instrText>
        </w:r>
        <w:r w:rsidR="00014085">
          <w:rPr>
            <w:webHidden/>
          </w:rPr>
        </w:r>
        <w:r w:rsidR="00014085">
          <w:rPr>
            <w:webHidden/>
          </w:rPr>
          <w:fldChar w:fldCharType="separate"/>
        </w:r>
        <w:r w:rsidR="00E73D8A">
          <w:rPr>
            <w:webHidden/>
          </w:rPr>
          <w:t>4</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29" w:history="1">
        <w:r w:rsidR="00014085" w:rsidRPr="007F095E">
          <w:rPr>
            <w:rStyle w:val="Hyperlink"/>
          </w:rPr>
          <w:t>3.2.1</w:t>
        </w:r>
        <w:r w:rsidR="00014085" w:rsidRPr="00F216AF">
          <w:rPr>
            <w:rFonts w:ascii="Calibri" w:hAnsi="Calibri"/>
            <w:szCs w:val="22"/>
          </w:rPr>
          <w:tab/>
        </w:r>
        <w:r w:rsidR="00014085" w:rsidRPr="007F095E">
          <w:rPr>
            <w:rStyle w:val="Hyperlink"/>
          </w:rPr>
          <w:t>Beurteilung der Herstellbarkeit eines Produktes</w:t>
        </w:r>
        <w:r w:rsidR="00014085">
          <w:rPr>
            <w:webHidden/>
          </w:rPr>
          <w:tab/>
        </w:r>
        <w:r w:rsidR="00014085">
          <w:rPr>
            <w:webHidden/>
          </w:rPr>
          <w:fldChar w:fldCharType="begin"/>
        </w:r>
        <w:r w:rsidR="00014085">
          <w:rPr>
            <w:webHidden/>
          </w:rPr>
          <w:instrText xml:space="preserve"> PAGEREF _Toc507057529 \h </w:instrText>
        </w:r>
        <w:r w:rsidR="00014085">
          <w:rPr>
            <w:webHidden/>
          </w:rPr>
        </w:r>
        <w:r w:rsidR="00014085">
          <w:rPr>
            <w:webHidden/>
          </w:rPr>
          <w:fldChar w:fldCharType="separate"/>
        </w:r>
        <w:r w:rsidR="00E73D8A">
          <w:rPr>
            <w:webHidden/>
          </w:rPr>
          <w:t>4</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30" w:history="1">
        <w:r w:rsidR="00014085" w:rsidRPr="007F095E">
          <w:rPr>
            <w:rStyle w:val="Hyperlink"/>
            <w:lang w:val="en-GB"/>
          </w:rPr>
          <w:t>3.2.2</w:t>
        </w:r>
        <w:r w:rsidR="00014085" w:rsidRPr="00F216AF">
          <w:rPr>
            <w:rFonts w:ascii="Calibri" w:hAnsi="Calibri"/>
            <w:szCs w:val="22"/>
          </w:rPr>
          <w:tab/>
        </w:r>
        <w:r w:rsidR="00014085" w:rsidRPr="007F095E">
          <w:rPr>
            <w:rStyle w:val="Hyperlink"/>
          </w:rPr>
          <w:t>Kennzeichnung und Rückverfolgbarkeit</w:t>
        </w:r>
        <w:r w:rsidR="00014085">
          <w:rPr>
            <w:webHidden/>
          </w:rPr>
          <w:tab/>
        </w:r>
        <w:r w:rsidR="00014085">
          <w:rPr>
            <w:webHidden/>
          </w:rPr>
          <w:fldChar w:fldCharType="begin"/>
        </w:r>
        <w:r w:rsidR="00014085">
          <w:rPr>
            <w:webHidden/>
          </w:rPr>
          <w:instrText xml:space="preserve"> PAGEREF _Toc507057530 \h </w:instrText>
        </w:r>
        <w:r w:rsidR="00014085">
          <w:rPr>
            <w:webHidden/>
          </w:rPr>
        </w:r>
        <w:r w:rsidR="00014085">
          <w:rPr>
            <w:webHidden/>
          </w:rPr>
          <w:fldChar w:fldCharType="separate"/>
        </w:r>
        <w:r w:rsidR="00E73D8A">
          <w:rPr>
            <w:webHidden/>
          </w:rPr>
          <w:t>5</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31" w:history="1">
        <w:r w:rsidR="00014085" w:rsidRPr="007F095E">
          <w:rPr>
            <w:rStyle w:val="Hyperlink"/>
          </w:rPr>
          <w:t>3.2.3</w:t>
        </w:r>
        <w:r w:rsidR="00014085" w:rsidRPr="00F216AF">
          <w:rPr>
            <w:rFonts w:ascii="Calibri" w:hAnsi="Calibri"/>
            <w:szCs w:val="22"/>
          </w:rPr>
          <w:tab/>
        </w:r>
        <w:r w:rsidR="00014085" w:rsidRPr="007F095E">
          <w:rPr>
            <w:rStyle w:val="Hyperlink"/>
          </w:rPr>
          <w:t>Vom Kunden beigestellte Produkte</w:t>
        </w:r>
        <w:r w:rsidR="00014085">
          <w:rPr>
            <w:webHidden/>
          </w:rPr>
          <w:tab/>
        </w:r>
        <w:r w:rsidR="00014085">
          <w:rPr>
            <w:webHidden/>
          </w:rPr>
          <w:fldChar w:fldCharType="begin"/>
        </w:r>
        <w:r w:rsidR="00014085">
          <w:rPr>
            <w:webHidden/>
          </w:rPr>
          <w:instrText xml:space="preserve"> PAGEREF _Toc507057531 \h </w:instrText>
        </w:r>
        <w:r w:rsidR="00014085">
          <w:rPr>
            <w:webHidden/>
          </w:rPr>
        </w:r>
        <w:r w:rsidR="00014085">
          <w:rPr>
            <w:webHidden/>
          </w:rPr>
          <w:fldChar w:fldCharType="separate"/>
        </w:r>
        <w:r w:rsidR="00E73D8A">
          <w:rPr>
            <w:webHidden/>
          </w:rPr>
          <w:t>5</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32" w:history="1">
        <w:r w:rsidR="00014085" w:rsidRPr="007F095E">
          <w:rPr>
            <w:rStyle w:val="Hyperlink"/>
          </w:rPr>
          <w:t>3.2.4</w:t>
        </w:r>
        <w:r w:rsidR="00014085" w:rsidRPr="00F216AF">
          <w:rPr>
            <w:rFonts w:ascii="Calibri" w:hAnsi="Calibri"/>
            <w:szCs w:val="22"/>
          </w:rPr>
          <w:tab/>
        </w:r>
        <w:r w:rsidR="00014085" w:rsidRPr="007F095E">
          <w:rPr>
            <w:rStyle w:val="Hyperlink"/>
          </w:rPr>
          <w:t>Vom Kunden freigegebene Bezugsquellen für Spezialprozesse</w:t>
        </w:r>
        <w:r w:rsidR="00014085">
          <w:rPr>
            <w:webHidden/>
          </w:rPr>
          <w:tab/>
        </w:r>
        <w:r w:rsidR="00014085">
          <w:rPr>
            <w:webHidden/>
          </w:rPr>
          <w:fldChar w:fldCharType="begin"/>
        </w:r>
        <w:r w:rsidR="00014085">
          <w:rPr>
            <w:webHidden/>
          </w:rPr>
          <w:instrText xml:space="preserve"> PAGEREF _Toc507057532 \h </w:instrText>
        </w:r>
        <w:r w:rsidR="00014085">
          <w:rPr>
            <w:webHidden/>
          </w:rPr>
        </w:r>
        <w:r w:rsidR="00014085">
          <w:rPr>
            <w:webHidden/>
          </w:rPr>
          <w:fldChar w:fldCharType="separate"/>
        </w:r>
        <w:r w:rsidR="00E73D8A">
          <w:rPr>
            <w:webHidden/>
          </w:rPr>
          <w:t>5</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33" w:history="1">
        <w:r w:rsidR="00014085" w:rsidRPr="007F095E">
          <w:rPr>
            <w:rStyle w:val="Hyperlink"/>
          </w:rPr>
          <w:t>3.2.5</w:t>
        </w:r>
        <w:r w:rsidR="00014085" w:rsidRPr="00F216AF">
          <w:rPr>
            <w:rFonts w:ascii="Calibri" w:hAnsi="Calibri"/>
            <w:szCs w:val="22"/>
          </w:rPr>
          <w:tab/>
        </w:r>
        <w:r w:rsidR="00014085" w:rsidRPr="007F095E">
          <w:rPr>
            <w:rStyle w:val="Hyperlink"/>
          </w:rPr>
          <w:t>Analyse der Fehlermöglichkeiten</w:t>
        </w:r>
        <w:r w:rsidR="00014085">
          <w:rPr>
            <w:webHidden/>
          </w:rPr>
          <w:tab/>
        </w:r>
        <w:r w:rsidR="00014085">
          <w:rPr>
            <w:webHidden/>
          </w:rPr>
          <w:fldChar w:fldCharType="begin"/>
        </w:r>
        <w:r w:rsidR="00014085">
          <w:rPr>
            <w:webHidden/>
          </w:rPr>
          <w:instrText xml:space="preserve"> PAGEREF _Toc507057533 \h </w:instrText>
        </w:r>
        <w:r w:rsidR="00014085">
          <w:rPr>
            <w:webHidden/>
          </w:rPr>
        </w:r>
        <w:r w:rsidR="00014085">
          <w:rPr>
            <w:webHidden/>
          </w:rPr>
          <w:fldChar w:fldCharType="separate"/>
        </w:r>
        <w:r w:rsidR="00E73D8A">
          <w:rPr>
            <w:webHidden/>
          </w:rPr>
          <w:t>5</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34" w:history="1">
        <w:r w:rsidR="00014085" w:rsidRPr="007F095E">
          <w:rPr>
            <w:rStyle w:val="Hyperlink"/>
          </w:rPr>
          <w:t>3.3</w:t>
        </w:r>
        <w:r w:rsidR="00014085" w:rsidRPr="00F216AF">
          <w:rPr>
            <w:rFonts w:ascii="Calibri" w:hAnsi="Calibri"/>
            <w:szCs w:val="22"/>
          </w:rPr>
          <w:tab/>
        </w:r>
        <w:r w:rsidR="00014085" w:rsidRPr="007F095E">
          <w:rPr>
            <w:rStyle w:val="Hyperlink"/>
          </w:rPr>
          <w:t>Erstmusterprüfung nach AS 9102</w:t>
        </w:r>
        <w:r w:rsidR="00014085">
          <w:rPr>
            <w:webHidden/>
          </w:rPr>
          <w:tab/>
        </w:r>
        <w:r w:rsidR="00014085">
          <w:rPr>
            <w:webHidden/>
          </w:rPr>
          <w:fldChar w:fldCharType="begin"/>
        </w:r>
        <w:r w:rsidR="00014085">
          <w:rPr>
            <w:webHidden/>
          </w:rPr>
          <w:instrText xml:space="preserve"> PAGEREF _Toc507057534 \h </w:instrText>
        </w:r>
        <w:r w:rsidR="00014085">
          <w:rPr>
            <w:webHidden/>
          </w:rPr>
        </w:r>
        <w:r w:rsidR="00014085">
          <w:rPr>
            <w:webHidden/>
          </w:rPr>
          <w:fldChar w:fldCharType="separate"/>
        </w:r>
        <w:r w:rsidR="00E73D8A">
          <w:rPr>
            <w:webHidden/>
          </w:rPr>
          <w:t>5</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35" w:history="1">
        <w:r w:rsidR="00014085" w:rsidRPr="007F095E">
          <w:rPr>
            <w:rStyle w:val="Hyperlink"/>
          </w:rPr>
          <w:t>3.4</w:t>
        </w:r>
        <w:r w:rsidR="00014085" w:rsidRPr="00F216AF">
          <w:rPr>
            <w:rFonts w:ascii="Calibri" w:hAnsi="Calibri"/>
            <w:szCs w:val="22"/>
          </w:rPr>
          <w:tab/>
        </w:r>
        <w:r w:rsidR="00014085" w:rsidRPr="007F095E">
          <w:rPr>
            <w:rStyle w:val="Hyperlink"/>
          </w:rPr>
          <w:t>Statistische Prozessregelung und Serienprüfung</w:t>
        </w:r>
        <w:r w:rsidR="00014085">
          <w:rPr>
            <w:webHidden/>
          </w:rPr>
          <w:tab/>
        </w:r>
        <w:r w:rsidR="00014085">
          <w:rPr>
            <w:webHidden/>
          </w:rPr>
          <w:fldChar w:fldCharType="begin"/>
        </w:r>
        <w:r w:rsidR="00014085">
          <w:rPr>
            <w:webHidden/>
          </w:rPr>
          <w:instrText xml:space="preserve"> PAGEREF _Toc507057535 \h </w:instrText>
        </w:r>
        <w:r w:rsidR="00014085">
          <w:rPr>
            <w:webHidden/>
          </w:rPr>
        </w:r>
        <w:r w:rsidR="00014085">
          <w:rPr>
            <w:webHidden/>
          </w:rPr>
          <w:fldChar w:fldCharType="separate"/>
        </w:r>
        <w:r w:rsidR="00E73D8A">
          <w:rPr>
            <w:webHidden/>
          </w:rPr>
          <w:t>6</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36" w:history="1">
        <w:r w:rsidR="00014085" w:rsidRPr="007F095E">
          <w:rPr>
            <w:rStyle w:val="Hyperlink"/>
          </w:rPr>
          <w:t>3.5</w:t>
        </w:r>
        <w:r w:rsidR="00014085" w:rsidRPr="00F216AF">
          <w:rPr>
            <w:rFonts w:ascii="Calibri" w:hAnsi="Calibri"/>
            <w:szCs w:val="22"/>
          </w:rPr>
          <w:tab/>
        </w:r>
        <w:r w:rsidR="00014085" w:rsidRPr="007F095E">
          <w:rPr>
            <w:rStyle w:val="Hyperlink"/>
          </w:rPr>
          <w:t>Lenkung fehlerhafter Produkte</w:t>
        </w:r>
        <w:r w:rsidR="00014085">
          <w:rPr>
            <w:webHidden/>
          </w:rPr>
          <w:tab/>
        </w:r>
        <w:r w:rsidR="00014085">
          <w:rPr>
            <w:webHidden/>
          </w:rPr>
          <w:fldChar w:fldCharType="begin"/>
        </w:r>
        <w:r w:rsidR="00014085">
          <w:rPr>
            <w:webHidden/>
          </w:rPr>
          <w:instrText xml:space="preserve"> PAGEREF _Toc507057536 \h </w:instrText>
        </w:r>
        <w:r w:rsidR="00014085">
          <w:rPr>
            <w:webHidden/>
          </w:rPr>
        </w:r>
        <w:r w:rsidR="00014085">
          <w:rPr>
            <w:webHidden/>
          </w:rPr>
          <w:fldChar w:fldCharType="separate"/>
        </w:r>
        <w:r w:rsidR="00E73D8A">
          <w:rPr>
            <w:webHidden/>
          </w:rPr>
          <w:t>6</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37" w:history="1">
        <w:r w:rsidR="00014085" w:rsidRPr="007F095E">
          <w:rPr>
            <w:rStyle w:val="Hyperlink"/>
          </w:rPr>
          <w:t>3.5.1</w:t>
        </w:r>
        <w:r w:rsidR="00014085" w:rsidRPr="00F216AF">
          <w:rPr>
            <w:rFonts w:ascii="Calibri" w:hAnsi="Calibri"/>
            <w:szCs w:val="22"/>
          </w:rPr>
          <w:tab/>
        </w:r>
        <w:r w:rsidR="00014085" w:rsidRPr="007F095E">
          <w:rPr>
            <w:rStyle w:val="Hyperlink"/>
          </w:rPr>
          <w:t>Entdecken von Fehlern beim Lieferanten</w:t>
        </w:r>
        <w:r w:rsidR="00014085">
          <w:rPr>
            <w:webHidden/>
          </w:rPr>
          <w:tab/>
        </w:r>
        <w:r w:rsidR="00014085">
          <w:rPr>
            <w:webHidden/>
          </w:rPr>
          <w:fldChar w:fldCharType="begin"/>
        </w:r>
        <w:r w:rsidR="00014085">
          <w:rPr>
            <w:webHidden/>
          </w:rPr>
          <w:instrText xml:space="preserve"> PAGEREF _Toc507057537 \h </w:instrText>
        </w:r>
        <w:r w:rsidR="00014085">
          <w:rPr>
            <w:webHidden/>
          </w:rPr>
        </w:r>
        <w:r w:rsidR="00014085">
          <w:rPr>
            <w:webHidden/>
          </w:rPr>
          <w:fldChar w:fldCharType="separate"/>
        </w:r>
        <w:r w:rsidR="00E73D8A">
          <w:rPr>
            <w:webHidden/>
          </w:rPr>
          <w:t>6</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38" w:history="1">
        <w:r w:rsidR="00014085" w:rsidRPr="007F095E">
          <w:rPr>
            <w:rStyle w:val="Hyperlink"/>
            <w:lang w:val="en-GB"/>
          </w:rPr>
          <w:t>3.5.2</w:t>
        </w:r>
        <w:r w:rsidR="00014085" w:rsidRPr="00F216AF">
          <w:rPr>
            <w:rFonts w:ascii="Calibri" w:hAnsi="Calibri"/>
            <w:szCs w:val="22"/>
          </w:rPr>
          <w:tab/>
        </w:r>
        <w:r w:rsidR="00014085" w:rsidRPr="007F095E">
          <w:rPr>
            <w:rStyle w:val="Hyperlink"/>
          </w:rPr>
          <w:t>Obligatorische Meldung von fehlerverdächtigen Produkten</w:t>
        </w:r>
        <w:r w:rsidR="00014085">
          <w:rPr>
            <w:webHidden/>
          </w:rPr>
          <w:tab/>
        </w:r>
        <w:r w:rsidR="00014085">
          <w:rPr>
            <w:webHidden/>
          </w:rPr>
          <w:fldChar w:fldCharType="begin"/>
        </w:r>
        <w:r w:rsidR="00014085">
          <w:rPr>
            <w:webHidden/>
          </w:rPr>
          <w:instrText xml:space="preserve"> PAGEREF _Toc507057538 \h </w:instrText>
        </w:r>
        <w:r w:rsidR="00014085">
          <w:rPr>
            <w:webHidden/>
          </w:rPr>
        </w:r>
        <w:r w:rsidR="00014085">
          <w:rPr>
            <w:webHidden/>
          </w:rPr>
          <w:fldChar w:fldCharType="separate"/>
        </w:r>
        <w:r w:rsidR="00E73D8A">
          <w:rPr>
            <w:webHidden/>
          </w:rPr>
          <w:t>7</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39" w:history="1">
        <w:r w:rsidR="00014085" w:rsidRPr="007F095E">
          <w:rPr>
            <w:rStyle w:val="Hyperlink"/>
          </w:rPr>
          <w:t>3.6</w:t>
        </w:r>
        <w:r w:rsidR="00014085" w:rsidRPr="00F216AF">
          <w:rPr>
            <w:rFonts w:ascii="Calibri" w:hAnsi="Calibri"/>
            <w:szCs w:val="22"/>
          </w:rPr>
          <w:tab/>
        </w:r>
        <w:r w:rsidR="00014085" w:rsidRPr="007F095E">
          <w:rPr>
            <w:rStyle w:val="Hyperlink"/>
          </w:rPr>
          <w:t>Antrag auf Sonderfreigabe</w:t>
        </w:r>
        <w:r w:rsidR="00014085">
          <w:rPr>
            <w:webHidden/>
          </w:rPr>
          <w:tab/>
        </w:r>
        <w:r w:rsidR="00014085">
          <w:rPr>
            <w:webHidden/>
          </w:rPr>
          <w:fldChar w:fldCharType="begin"/>
        </w:r>
        <w:r w:rsidR="00014085">
          <w:rPr>
            <w:webHidden/>
          </w:rPr>
          <w:instrText xml:space="preserve"> PAGEREF _Toc507057539 \h </w:instrText>
        </w:r>
        <w:r w:rsidR="00014085">
          <w:rPr>
            <w:webHidden/>
          </w:rPr>
        </w:r>
        <w:r w:rsidR="00014085">
          <w:rPr>
            <w:webHidden/>
          </w:rPr>
          <w:fldChar w:fldCharType="separate"/>
        </w:r>
        <w:r w:rsidR="00E73D8A">
          <w:rPr>
            <w:webHidden/>
          </w:rPr>
          <w:t>7</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40" w:history="1">
        <w:r w:rsidR="00014085" w:rsidRPr="007F095E">
          <w:rPr>
            <w:rStyle w:val="Hyperlink"/>
            <w:lang w:val="en-GB"/>
          </w:rPr>
          <w:t>3.6.1</w:t>
        </w:r>
        <w:r w:rsidR="00014085" w:rsidRPr="00F216AF">
          <w:rPr>
            <w:rFonts w:ascii="Calibri" w:hAnsi="Calibri"/>
            <w:szCs w:val="22"/>
          </w:rPr>
          <w:tab/>
        </w:r>
        <w:r w:rsidR="00014085" w:rsidRPr="007F095E">
          <w:rPr>
            <w:rStyle w:val="Hyperlink"/>
          </w:rPr>
          <w:t>Antrag auf Abweichgenehmigung / Sonderfreigabe</w:t>
        </w:r>
        <w:r w:rsidR="00014085">
          <w:rPr>
            <w:webHidden/>
          </w:rPr>
          <w:tab/>
        </w:r>
        <w:r w:rsidR="00014085">
          <w:rPr>
            <w:webHidden/>
          </w:rPr>
          <w:fldChar w:fldCharType="begin"/>
        </w:r>
        <w:r w:rsidR="00014085">
          <w:rPr>
            <w:webHidden/>
          </w:rPr>
          <w:instrText xml:space="preserve"> PAGEREF _Toc507057540 \h </w:instrText>
        </w:r>
        <w:r w:rsidR="00014085">
          <w:rPr>
            <w:webHidden/>
          </w:rPr>
        </w:r>
        <w:r w:rsidR="00014085">
          <w:rPr>
            <w:webHidden/>
          </w:rPr>
          <w:fldChar w:fldCharType="separate"/>
        </w:r>
        <w:r w:rsidR="00E73D8A">
          <w:rPr>
            <w:webHidden/>
          </w:rPr>
          <w:t>7</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41" w:history="1">
        <w:r w:rsidR="00014085" w:rsidRPr="007F095E">
          <w:rPr>
            <w:rStyle w:val="Hyperlink"/>
            <w:lang w:val="en-GB"/>
          </w:rPr>
          <w:t>3.6.2</w:t>
        </w:r>
        <w:r w:rsidR="00014085" w:rsidRPr="00F216AF">
          <w:rPr>
            <w:rFonts w:ascii="Calibri" w:hAnsi="Calibri"/>
            <w:szCs w:val="22"/>
          </w:rPr>
          <w:tab/>
        </w:r>
        <w:r w:rsidR="00014085" w:rsidRPr="007F095E">
          <w:rPr>
            <w:rStyle w:val="Hyperlink"/>
          </w:rPr>
          <w:t>Antrag auf Änderungsgenehmigung</w:t>
        </w:r>
        <w:r w:rsidR="00014085">
          <w:rPr>
            <w:webHidden/>
          </w:rPr>
          <w:tab/>
        </w:r>
        <w:r w:rsidR="00014085">
          <w:rPr>
            <w:webHidden/>
          </w:rPr>
          <w:fldChar w:fldCharType="begin"/>
        </w:r>
        <w:r w:rsidR="00014085">
          <w:rPr>
            <w:webHidden/>
          </w:rPr>
          <w:instrText xml:space="preserve"> PAGEREF _Toc507057541 \h </w:instrText>
        </w:r>
        <w:r w:rsidR="00014085">
          <w:rPr>
            <w:webHidden/>
          </w:rPr>
        </w:r>
        <w:r w:rsidR="00014085">
          <w:rPr>
            <w:webHidden/>
          </w:rPr>
          <w:fldChar w:fldCharType="separate"/>
        </w:r>
        <w:r w:rsidR="00E73D8A">
          <w:rPr>
            <w:webHidden/>
          </w:rPr>
          <w:t>7</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42" w:history="1">
        <w:r w:rsidR="00014085" w:rsidRPr="007F095E">
          <w:rPr>
            <w:rStyle w:val="Hyperlink"/>
          </w:rPr>
          <w:t>3.7</w:t>
        </w:r>
        <w:r w:rsidR="00014085" w:rsidRPr="00F216AF">
          <w:rPr>
            <w:rFonts w:ascii="Calibri" w:hAnsi="Calibri"/>
            <w:szCs w:val="22"/>
          </w:rPr>
          <w:tab/>
        </w:r>
        <w:r w:rsidR="00014085" w:rsidRPr="007F095E">
          <w:rPr>
            <w:rStyle w:val="Hyperlink"/>
          </w:rPr>
          <w:t>Entdecken vom Fehlern beim Kunden</w:t>
        </w:r>
        <w:r w:rsidR="00014085">
          <w:rPr>
            <w:webHidden/>
          </w:rPr>
          <w:tab/>
        </w:r>
        <w:r w:rsidR="00014085">
          <w:rPr>
            <w:webHidden/>
          </w:rPr>
          <w:fldChar w:fldCharType="begin"/>
        </w:r>
        <w:r w:rsidR="00014085">
          <w:rPr>
            <w:webHidden/>
          </w:rPr>
          <w:instrText xml:space="preserve"> PAGEREF _Toc507057542 \h </w:instrText>
        </w:r>
        <w:r w:rsidR="00014085">
          <w:rPr>
            <w:webHidden/>
          </w:rPr>
        </w:r>
        <w:r w:rsidR="00014085">
          <w:rPr>
            <w:webHidden/>
          </w:rPr>
          <w:fldChar w:fldCharType="separate"/>
        </w:r>
        <w:r w:rsidR="00E73D8A">
          <w:rPr>
            <w:webHidden/>
          </w:rPr>
          <w:t>7</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43" w:history="1">
        <w:r w:rsidR="00014085" w:rsidRPr="007F095E">
          <w:rPr>
            <w:rStyle w:val="Hyperlink"/>
          </w:rPr>
          <w:t>3.8</w:t>
        </w:r>
        <w:r w:rsidR="00014085" w:rsidRPr="00F216AF">
          <w:rPr>
            <w:rFonts w:ascii="Calibri" w:hAnsi="Calibri"/>
            <w:szCs w:val="22"/>
          </w:rPr>
          <w:tab/>
        </w:r>
        <w:r w:rsidR="00014085" w:rsidRPr="007F095E">
          <w:rPr>
            <w:rStyle w:val="Hyperlink"/>
          </w:rPr>
          <w:t>Eskalationsprozess</w:t>
        </w:r>
        <w:r w:rsidR="00014085">
          <w:rPr>
            <w:webHidden/>
          </w:rPr>
          <w:tab/>
        </w:r>
        <w:r w:rsidR="00014085">
          <w:rPr>
            <w:webHidden/>
          </w:rPr>
          <w:fldChar w:fldCharType="begin"/>
        </w:r>
        <w:r w:rsidR="00014085">
          <w:rPr>
            <w:webHidden/>
          </w:rPr>
          <w:instrText xml:space="preserve"> PAGEREF _Toc507057543 \h </w:instrText>
        </w:r>
        <w:r w:rsidR="00014085">
          <w:rPr>
            <w:webHidden/>
          </w:rPr>
        </w:r>
        <w:r w:rsidR="00014085">
          <w:rPr>
            <w:webHidden/>
          </w:rPr>
          <w:fldChar w:fldCharType="separate"/>
        </w:r>
        <w:r w:rsidR="00E73D8A">
          <w:rPr>
            <w:webHidden/>
          </w:rPr>
          <w:t>8</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44" w:history="1">
        <w:r w:rsidR="00014085" w:rsidRPr="007F095E">
          <w:rPr>
            <w:rStyle w:val="Hyperlink"/>
          </w:rPr>
          <w:t>3.9</w:t>
        </w:r>
        <w:r w:rsidR="00014085" w:rsidRPr="00F216AF">
          <w:rPr>
            <w:rFonts w:ascii="Calibri" w:hAnsi="Calibri"/>
            <w:szCs w:val="22"/>
          </w:rPr>
          <w:tab/>
        </w:r>
        <w:r w:rsidR="00014085" w:rsidRPr="007F095E">
          <w:rPr>
            <w:rStyle w:val="Hyperlink"/>
          </w:rPr>
          <w:t>Konservierung, Verpackung und Kennzeichnung</w:t>
        </w:r>
        <w:r w:rsidR="00014085">
          <w:rPr>
            <w:webHidden/>
          </w:rPr>
          <w:tab/>
        </w:r>
        <w:r w:rsidR="00014085">
          <w:rPr>
            <w:webHidden/>
          </w:rPr>
          <w:fldChar w:fldCharType="begin"/>
        </w:r>
        <w:r w:rsidR="00014085">
          <w:rPr>
            <w:webHidden/>
          </w:rPr>
          <w:instrText xml:space="preserve"> PAGEREF _Toc507057544 \h </w:instrText>
        </w:r>
        <w:r w:rsidR="00014085">
          <w:rPr>
            <w:webHidden/>
          </w:rPr>
        </w:r>
        <w:r w:rsidR="00014085">
          <w:rPr>
            <w:webHidden/>
          </w:rPr>
          <w:fldChar w:fldCharType="separate"/>
        </w:r>
        <w:r w:rsidR="00E73D8A">
          <w:rPr>
            <w:webHidden/>
          </w:rPr>
          <w:t>8</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45" w:history="1">
        <w:r w:rsidR="00014085" w:rsidRPr="007F095E">
          <w:rPr>
            <w:rStyle w:val="Hyperlink"/>
            <w:lang w:val="en-GB"/>
          </w:rPr>
          <w:t>3.9.1</w:t>
        </w:r>
        <w:r w:rsidR="00014085" w:rsidRPr="00F216AF">
          <w:rPr>
            <w:rFonts w:ascii="Calibri" w:hAnsi="Calibri"/>
            <w:szCs w:val="22"/>
          </w:rPr>
          <w:tab/>
        </w:r>
        <w:r w:rsidR="00014085" w:rsidRPr="007F095E">
          <w:rPr>
            <w:rStyle w:val="Hyperlink"/>
            <w:lang w:val="en-GB"/>
          </w:rPr>
          <w:t>Konservierung</w:t>
        </w:r>
        <w:r w:rsidR="00014085">
          <w:rPr>
            <w:webHidden/>
          </w:rPr>
          <w:tab/>
        </w:r>
        <w:r w:rsidR="00014085">
          <w:rPr>
            <w:webHidden/>
          </w:rPr>
          <w:fldChar w:fldCharType="begin"/>
        </w:r>
        <w:r w:rsidR="00014085">
          <w:rPr>
            <w:webHidden/>
          </w:rPr>
          <w:instrText xml:space="preserve"> PAGEREF _Toc507057545 \h </w:instrText>
        </w:r>
        <w:r w:rsidR="00014085">
          <w:rPr>
            <w:webHidden/>
          </w:rPr>
        </w:r>
        <w:r w:rsidR="00014085">
          <w:rPr>
            <w:webHidden/>
          </w:rPr>
          <w:fldChar w:fldCharType="separate"/>
        </w:r>
        <w:r w:rsidR="00E73D8A">
          <w:rPr>
            <w:webHidden/>
          </w:rPr>
          <w:t>8</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46" w:history="1">
        <w:r w:rsidR="00014085" w:rsidRPr="007F095E">
          <w:rPr>
            <w:rStyle w:val="Hyperlink"/>
            <w:lang w:val="en-GB"/>
          </w:rPr>
          <w:t>3.9.2</w:t>
        </w:r>
        <w:r w:rsidR="00014085" w:rsidRPr="00F216AF">
          <w:rPr>
            <w:rFonts w:ascii="Calibri" w:hAnsi="Calibri"/>
            <w:szCs w:val="22"/>
          </w:rPr>
          <w:tab/>
        </w:r>
        <w:r w:rsidR="00014085" w:rsidRPr="007F095E">
          <w:rPr>
            <w:rStyle w:val="Hyperlink"/>
          </w:rPr>
          <w:t>Verpackung und Kennzeichnung</w:t>
        </w:r>
        <w:r w:rsidR="00014085">
          <w:rPr>
            <w:webHidden/>
          </w:rPr>
          <w:tab/>
        </w:r>
        <w:r w:rsidR="00014085">
          <w:rPr>
            <w:webHidden/>
          </w:rPr>
          <w:fldChar w:fldCharType="begin"/>
        </w:r>
        <w:r w:rsidR="00014085">
          <w:rPr>
            <w:webHidden/>
          </w:rPr>
          <w:instrText xml:space="preserve"> PAGEREF _Toc507057546 \h </w:instrText>
        </w:r>
        <w:r w:rsidR="00014085">
          <w:rPr>
            <w:webHidden/>
          </w:rPr>
        </w:r>
        <w:r w:rsidR="00014085">
          <w:rPr>
            <w:webHidden/>
          </w:rPr>
          <w:fldChar w:fldCharType="separate"/>
        </w:r>
        <w:r w:rsidR="00E73D8A">
          <w:rPr>
            <w:webHidden/>
          </w:rPr>
          <w:t>8</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47" w:history="1">
        <w:r w:rsidR="00014085" w:rsidRPr="007F095E">
          <w:rPr>
            <w:rStyle w:val="Hyperlink"/>
          </w:rPr>
          <w:t>3.10</w:t>
        </w:r>
        <w:r w:rsidR="00014085" w:rsidRPr="00F216AF">
          <w:rPr>
            <w:rFonts w:ascii="Calibri" w:hAnsi="Calibri"/>
            <w:szCs w:val="22"/>
          </w:rPr>
          <w:tab/>
        </w:r>
        <w:r w:rsidR="00014085" w:rsidRPr="007F095E">
          <w:rPr>
            <w:rStyle w:val="Hyperlink"/>
          </w:rPr>
          <w:t>Funktions-, Zuverlässigkeits- und Lebensdauerprüfungen</w:t>
        </w:r>
        <w:r w:rsidR="00014085">
          <w:rPr>
            <w:webHidden/>
          </w:rPr>
          <w:tab/>
        </w:r>
        <w:r w:rsidR="00014085">
          <w:rPr>
            <w:webHidden/>
          </w:rPr>
          <w:fldChar w:fldCharType="begin"/>
        </w:r>
        <w:r w:rsidR="00014085">
          <w:rPr>
            <w:webHidden/>
          </w:rPr>
          <w:instrText xml:space="preserve"> PAGEREF _Toc507057547 \h </w:instrText>
        </w:r>
        <w:r w:rsidR="00014085">
          <w:rPr>
            <w:webHidden/>
          </w:rPr>
        </w:r>
        <w:r w:rsidR="00014085">
          <w:rPr>
            <w:webHidden/>
          </w:rPr>
          <w:fldChar w:fldCharType="separate"/>
        </w:r>
        <w:r w:rsidR="00E73D8A">
          <w:rPr>
            <w:webHidden/>
          </w:rPr>
          <w:t>9</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48" w:history="1">
        <w:r w:rsidR="00014085" w:rsidRPr="007F095E">
          <w:rPr>
            <w:rStyle w:val="Hyperlink"/>
          </w:rPr>
          <w:t>3.11</w:t>
        </w:r>
        <w:r w:rsidR="00014085" w:rsidRPr="00F216AF">
          <w:rPr>
            <w:rFonts w:ascii="Calibri" w:hAnsi="Calibri"/>
            <w:szCs w:val="22"/>
          </w:rPr>
          <w:tab/>
        </w:r>
        <w:r w:rsidR="00014085" w:rsidRPr="007F095E">
          <w:rPr>
            <w:rStyle w:val="Hyperlink"/>
          </w:rPr>
          <w:t>Freigabebescheinigung</w:t>
        </w:r>
        <w:r w:rsidR="00014085">
          <w:rPr>
            <w:webHidden/>
          </w:rPr>
          <w:tab/>
        </w:r>
        <w:r w:rsidR="00014085">
          <w:rPr>
            <w:webHidden/>
          </w:rPr>
          <w:fldChar w:fldCharType="begin"/>
        </w:r>
        <w:r w:rsidR="00014085">
          <w:rPr>
            <w:webHidden/>
          </w:rPr>
          <w:instrText xml:space="preserve"> PAGEREF _Toc507057548 \h </w:instrText>
        </w:r>
        <w:r w:rsidR="00014085">
          <w:rPr>
            <w:webHidden/>
          </w:rPr>
        </w:r>
        <w:r w:rsidR="00014085">
          <w:rPr>
            <w:webHidden/>
          </w:rPr>
          <w:fldChar w:fldCharType="separate"/>
        </w:r>
        <w:r w:rsidR="00E73D8A">
          <w:rPr>
            <w:webHidden/>
          </w:rPr>
          <w:t>9</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49" w:history="1">
        <w:r w:rsidR="00014085" w:rsidRPr="007F095E">
          <w:rPr>
            <w:rStyle w:val="Hyperlink"/>
          </w:rPr>
          <w:t>3.12</w:t>
        </w:r>
        <w:r w:rsidR="00014085" w:rsidRPr="00F216AF">
          <w:rPr>
            <w:rFonts w:ascii="Calibri" w:hAnsi="Calibri"/>
            <w:szCs w:val="22"/>
          </w:rPr>
          <w:tab/>
        </w:r>
        <w:r w:rsidR="00014085" w:rsidRPr="007F095E">
          <w:rPr>
            <w:rStyle w:val="Hyperlink"/>
          </w:rPr>
          <w:t>Archivierung von Aufzeichnungen</w:t>
        </w:r>
        <w:r w:rsidR="00014085">
          <w:rPr>
            <w:webHidden/>
          </w:rPr>
          <w:tab/>
        </w:r>
        <w:r w:rsidR="00014085">
          <w:rPr>
            <w:webHidden/>
          </w:rPr>
          <w:fldChar w:fldCharType="begin"/>
        </w:r>
        <w:r w:rsidR="00014085">
          <w:rPr>
            <w:webHidden/>
          </w:rPr>
          <w:instrText xml:space="preserve"> PAGEREF _Toc507057549 \h </w:instrText>
        </w:r>
        <w:r w:rsidR="00014085">
          <w:rPr>
            <w:webHidden/>
          </w:rPr>
        </w:r>
        <w:r w:rsidR="00014085">
          <w:rPr>
            <w:webHidden/>
          </w:rPr>
          <w:fldChar w:fldCharType="separate"/>
        </w:r>
        <w:r w:rsidR="00E73D8A">
          <w:rPr>
            <w:webHidden/>
          </w:rPr>
          <w:t>9</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50" w:history="1">
        <w:r w:rsidR="00014085" w:rsidRPr="007F095E">
          <w:rPr>
            <w:rStyle w:val="Hyperlink"/>
          </w:rPr>
          <w:t>3.13</w:t>
        </w:r>
        <w:r w:rsidR="00014085" w:rsidRPr="00F216AF">
          <w:rPr>
            <w:rFonts w:ascii="Calibri" w:hAnsi="Calibri"/>
            <w:szCs w:val="22"/>
          </w:rPr>
          <w:tab/>
        </w:r>
        <w:r w:rsidR="00014085" w:rsidRPr="007F095E">
          <w:rPr>
            <w:rStyle w:val="Hyperlink"/>
          </w:rPr>
          <w:t>Prüfmittel</w:t>
        </w:r>
        <w:r w:rsidR="00014085">
          <w:rPr>
            <w:webHidden/>
          </w:rPr>
          <w:tab/>
        </w:r>
        <w:r w:rsidR="00014085">
          <w:rPr>
            <w:webHidden/>
          </w:rPr>
          <w:fldChar w:fldCharType="begin"/>
        </w:r>
        <w:r w:rsidR="00014085">
          <w:rPr>
            <w:webHidden/>
          </w:rPr>
          <w:instrText xml:space="preserve"> PAGEREF _Toc507057550 \h </w:instrText>
        </w:r>
        <w:r w:rsidR="00014085">
          <w:rPr>
            <w:webHidden/>
          </w:rPr>
        </w:r>
        <w:r w:rsidR="00014085">
          <w:rPr>
            <w:webHidden/>
          </w:rPr>
          <w:fldChar w:fldCharType="separate"/>
        </w:r>
        <w:r w:rsidR="00E73D8A">
          <w:rPr>
            <w:webHidden/>
          </w:rPr>
          <w:t>9</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51" w:history="1">
        <w:r w:rsidR="00014085" w:rsidRPr="007F095E">
          <w:rPr>
            <w:rStyle w:val="Hyperlink"/>
          </w:rPr>
          <w:t>3.14</w:t>
        </w:r>
        <w:r w:rsidR="00014085" w:rsidRPr="00F216AF">
          <w:rPr>
            <w:rFonts w:ascii="Calibri" w:hAnsi="Calibri"/>
            <w:szCs w:val="22"/>
          </w:rPr>
          <w:tab/>
        </w:r>
        <w:r w:rsidR="00014085" w:rsidRPr="007F095E">
          <w:rPr>
            <w:rStyle w:val="Hyperlink"/>
          </w:rPr>
          <w:t>Umwelt, Sicherheit, Recycling</w:t>
        </w:r>
        <w:r w:rsidR="00014085">
          <w:rPr>
            <w:webHidden/>
          </w:rPr>
          <w:tab/>
        </w:r>
        <w:r w:rsidR="00014085">
          <w:rPr>
            <w:webHidden/>
          </w:rPr>
          <w:fldChar w:fldCharType="begin"/>
        </w:r>
        <w:r w:rsidR="00014085">
          <w:rPr>
            <w:webHidden/>
          </w:rPr>
          <w:instrText xml:space="preserve"> PAGEREF _Toc507057551 \h </w:instrText>
        </w:r>
        <w:r w:rsidR="00014085">
          <w:rPr>
            <w:webHidden/>
          </w:rPr>
        </w:r>
        <w:r w:rsidR="00014085">
          <w:rPr>
            <w:webHidden/>
          </w:rPr>
          <w:fldChar w:fldCharType="separate"/>
        </w:r>
        <w:r w:rsidR="00E73D8A">
          <w:rPr>
            <w:webHidden/>
          </w:rPr>
          <w:t>9</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52" w:history="1">
        <w:r w:rsidR="00014085" w:rsidRPr="007F095E">
          <w:rPr>
            <w:rStyle w:val="Hyperlink"/>
          </w:rPr>
          <w:t>3.15</w:t>
        </w:r>
        <w:r w:rsidR="00014085" w:rsidRPr="00F216AF">
          <w:rPr>
            <w:rFonts w:ascii="Calibri" w:hAnsi="Calibri"/>
            <w:szCs w:val="22"/>
          </w:rPr>
          <w:tab/>
        </w:r>
        <w:r w:rsidR="00014085" w:rsidRPr="007F095E">
          <w:rPr>
            <w:rStyle w:val="Hyperlink"/>
          </w:rPr>
          <w:t>Überprüfung der angelieferten Vertragsprodukte</w:t>
        </w:r>
        <w:r w:rsidR="00014085">
          <w:rPr>
            <w:webHidden/>
          </w:rPr>
          <w:tab/>
        </w:r>
        <w:r w:rsidR="00014085">
          <w:rPr>
            <w:webHidden/>
          </w:rPr>
          <w:fldChar w:fldCharType="begin"/>
        </w:r>
        <w:r w:rsidR="00014085">
          <w:rPr>
            <w:webHidden/>
          </w:rPr>
          <w:instrText xml:space="preserve"> PAGEREF _Toc507057552 \h </w:instrText>
        </w:r>
        <w:r w:rsidR="00014085">
          <w:rPr>
            <w:webHidden/>
          </w:rPr>
        </w:r>
        <w:r w:rsidR="00014085">
          <w:rPr>
            <w:webHidden/>
          </w:rPr>
          <w:fldChar w:fldCharType="separate"/>
        </w:r>
        <w:r w:rsidR="00E73D8A">
          <w:rPr>
            <w:webHidden/>
          </w:rPr>
          <w:t>10</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53" w:history="1">
        <w:r w:rsidR="00014085" w:rsidRPr="007F095E">
          <w:rPr>
            <w:rStyle w:val="Hyperlink"/>
          </w:rPr>
          <w:t>3.16</w:t>
        </w:r>
        <w:r w:rsidR="00014085" w:rsidRPr="00F216AF">
          <w:rPr>
            <w:rFonts w:ascii="Calibri" w:hAnsi="Calibri"/>
            <w:szCs w:val="22"/>
          </w:rPr>
          <w:tab/>
        </w:r>
        <w:r w:rsidR="00014085" w:rsidRPr="007F095E">
          <w:rPr>
            <w:rStyle w:val="Hyperlink"/>
          </w:rPr>
          <w:t>Liefertreue</w:t>
        </w:r>
        <w:r w:rsidR="00014085">
          <w:rPr>
            <w:webHidden/>
          </w:rPr>
          <w:tab/>
        </w:r>
        <w:r w:rsidR="00014085">
          <w:rPr>
            <w:webHidden/>
          </w:rPr>
          <w:fldChar w:fldCharType="begin"/>
        </w:r>
        <w:r w:rsidR="00014085">
          <w:rPr>
            <w:webHidden/>
          </w:rPr>
          <w:instrText xml:space="preserve"> PAGEREF _Toc507057553 \h </w:instrText>
        </w:r>
        <w:r w:rsidR="00014085">
          <w:rPr>
            <w:webHidden/>
          </w:rPr>
        </w:r>
        <w:r w:rsidR="00014085">
          <w:rPr>
            <w:webHidden/>
          </w:rPr>
          <w:fldChar w:fldCharType="separate"/>
        </w:r>
        <w:r w:rsidR="00E73D8A">
          <w:rPr>
            <w:webHidden/>
          </w:rPr>
          <w:t>10</w:t>
        </w:r>
        <w:r w:rsidR="00014085">
          <w:rPr>
            <w:webHidden/>
          </w:rPr>
          <w:fldChar w:fldCharType="end"/>
        </w:r>
      </w:hyperlink>
    </w:p>
    <w:p w:rsidR="00014085" w:rsidRDefault="00F95E3B" w:rsidP="00010823">
      <w:pPr>
        <w:pStyle w:val="Verzeichnis2"/>
        <w:tabs>
          <w:tab w:val="clear" w:pos="720"/>
          <w:tab w:val="clear" w:pos="9612"/>
          <w:tab w:val="left" w:pos="709"/>
          <w:tab w:val="right" w:leader="dot" w:pos="9624"/>
          <w:tab w:val="right" w:leader="dot" w:pos="10195"/>
        </w:tabs>
        <w:spacing w:after="0"/>
        <w:rPr>
          <w:rStyle w:val="Hyperlink"/>
        </w:rPr>
      </w:pPr>
      <w:hyperlink w:anchor="_Toc507057554" w:history="1">
        <w:r w:rsidR="00014085" w:rsidRPr="007F095E">
          <w:rPr>
            <w:rStyle w:val="Hyperlink"/>
          </w:rPr>
          <w:t>3.17</w:t>
        </w:r>
        <w:r w:rsidR="00014085" w:rsidRPr="00F216AF">
          <w:rPr>
            <w:rFonts w:ascii="Calibri" w:hAnsi="Calibri"/>
            <w:szCs w:val="22"/>
          </w:rPr>
          <w:tab/>
        </w:r>
        <w:r w:rsidR="00014085" w:rsidRPr="007F095E">
          <w:rPr>
            <w:rStyle w:val="Hyperlink"/>
          </w:rPr>
          <w:t>Schulung und Qualifizierung der Mitarbeiter</w:t>
        </w:r>
        <w:r w:rsidR="00014085">
          <w:rPr>
            <w:webHidden/>
          </w:rPr>
          <w:tab/>
        </w:r>
        <w:r w:rsidR="00014085">
          <w:rPr>
            <w:webHidden/>
          </w:rPr>
          <w:fldChar w:fldCharType="begin"/>
        </w:r>
        <w:r w:rsidR="00014085">
          <w:rPr>
            <w:webHidden/>
          </w:rPr>
          <w:instrText xml:space="preserve"> PAGEREF _Toc507057554 \h </w:instrText>
        </w:r>
        <w:r w:rsidR="00014085">
          <w:rPr>
            <w:webHidden/>
          </w:rPr>
        </w:r>
        <w:r w:rsidR="00014085">
          <w:rPr>
            <w:webHidden/>
          </w:rPr>
          <w:fldChar w:fldCharType="separate"/>
        </w:r>
        <w:r w:rsidR="00E73D8A">
          <w:rPr>
            <w:webHidden/>
          </w:rPr>
          <w:t>10</w:t>
        </w:r>
        <w:r w:rsidR="00014085">
          <w:rPr>
            <w:webHidden/>
          </w:rPr>
          <w:fldChar w:fldCharType="end"/>
        </w:r>
      </w:hyperlink>
    </w:p>
    <w:p w:rsidR="00010823" w:rsidRPr="00010823" w:rsidRDefault="00010823" w:rsidP="00010823">
      <w:pPr>
        <w:rPr>
          <w:noProof/>
        </w:rPr>
      </w:pPr>
    </w:p>
    <w:p w:rsidR="00014085" w:rsidRPr="00F216AF" w:rsidRDefault="00F95E3B" w:rsidP="00010823">
      <w:pPr>
        <w:pStyle w:val="Verzeichnis1"/>
        <w:tabs>
          <w:tab w:val="right" w:leader="dot" w:pos="9624"/>
        </w:tabs>
        <w:rPr>
          <w:rFonts w:ascii="Calibri" w:hAnsi="Calibri"/>
          <w:szCs w:val="22"/>
        </w:rPr>
      </w:pPr>
      <w:hyperlink w:anchor="_Toc507057555" w:history="1">
        <w:r w:rsidR="00014085" w:rsidRPr="007F095E">
          <w:rPr>
            <w:rStyle w:val="Hyperlink"/>
            <w:lang w:val="en-GB"/>
          </w:rPr>
          <w:t>4</w:t>
        </w:r>
        <w:r w:rsidR="00014085" w:rsidRPr="00F216AF">
          <w:rPr>
            <w:rFonts w:ascii="Calibri" w:hAnsi="Calibri"/>
            <w:szCs w:val="22"/>
          </w:rPr>
          <w:tab/>
        </w:r>
        <w:r w:rsidR="00014085" w:rsidRPr="007F095E">
          <w:rPr>
            <w:rStyle w:val="Hyperlink"/>
            <w:lang w:val="en-GB"/>
          </w:rPr>
          <w:t>Erweiterte Kundenanforderungen</w:t>
        </w:r>
        <w:r w:rsidR="00014085">
          <w:rPr>
            <w:webHidden/>
          </w:rPr>
          <w:tab/>
        </w:r>
        <w:r w:rsidR="00014085">
          <w:rPr>
            <w:webHidden/>
          </w:rPr>
          <w:fldChar w:fldCharType="begin"/>
        </w:r>
        <w:r w:rsidR="00014085">
          <w:rPr>
            <w:webHidden/>
          </w:rPr>
          <w:instrText xml:space="preserve"> PAGEREF _Toc507057555 \h </w:instrText>
        </w:r>
        <w:r w:rsidR="00014085">
          <w:rPr>
            <w:webHidden/>
          </w:rPr>
        </w:r>
        <w:r w:rsidR="00014085">
          <w:rPr>
            <w:webHidden/>
          </w:rPr>
          <w:fldChar w:fldCharType="separate"/>
        </w:r>
        <w:r w:rsidR="00E73D8A">
          <w:rPr>
            <w:webHidden/>
          </w:rPr>
          <w:t>10</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56" w:history="1">
        <w:r w:rsidR="00014085" w:rsidRPr="007F095E">
          <w:rPr>
            <w:rStyle w:val="Hyperlink"/>
          </w:rPr>
          <w:t>4.1</w:t>
        </w:r>
        <w:r w:rsidR="00014085" w:rsidRPr="00F216AF">
          <w:rPr>
            <w:rFonts w:ascii="Calibri" w:hAnsi="Calibri"/>
            <w:szCs w:val="22"/>
          </w:rPr>
          <w:tab/>
        </w:r>
        <w:r w:rsidR="00014085" w:rsidRPr="007F095E">
          <w:rPr>
            <w:rStyle w:val="Hyperlink"/>
          </w:rPr>
          <w:t>Prozessüberwachung mittels CQI-Assessments</w:t>
        </w:r>
        <w:r w:rsidR="00014085">
          <w:rPr>
            <w:webHidden/>
          </w:rPr>
          <w:tab/>
        </w:r>
        <w:r w:rsidR="00014085">
          <w:rPr>
            <w:webHidden/>
          </w:rPr>
          <w:fldChar w:fldCharType="begin"/>
        </w:r>
        <w:r w:rsidR="00014085">
          <w:rPr>
            <w:webHidden/>
          </w:rPr>
          <w:instrText xml:space="preserve"> PAGEREF _Toc507057556 \h </w:instrText>
        </w:r>
        <w:r w:rsidR="00014085">
          <w:rPr>
            <w:webHidden/>
          </w:rPr>
        </w:r>
        <w:r w:rsidR="00014085">
          <w:rPr>
            <w:webHidden/>
          </w:rPr>
          <w:fldChar w:fldCharType="separate"/>
        </w:r>
        <w:r w:rsidR="00E73D8A">
          <w:rPr>
            <w:webHidden/>
          </w:rPr>
          <w:t>10</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57" w:history="1">
        <w:r w:rsidR="00014085" w:rsidRPr="007F095E">
          <w:rPr>
            <w:rStyle w:val="Hyperlink"/>
          </w:rPr>
          <w:t>4.2</w:t>
        </w:r>
        <w:r w:rsidR="00014085" w:rsidRPr="00F216AF">
          <w:rPr>
            <w:rFonts w:ascii="Calibri" w:hAnsi="Calibri"/>
            <w:szCs w:val="22"/>
          </w:rPr>
          <w:tab/>
        </w:r>
        <w:r w:rsidR="00014085" w:rsidRPr="007F095E">
          <w:rPr>
            <w:rStyle w:val="Hyperlink"/>
          </w:rPr>
          <w:t>Produktsicherheitsbeauftragter (PSB)</w:t>
        </w:r>
        <w:r w:rsidR="00014085">
          <w:rPr>
            <w:webHidden/>
          </w:rPr>
          <w:tab/>
        </w:r>
        <w:r w:rsidR="00014085">
          <w:rPr>
            <w:webHidden/>
          </w:rPr>
          <w:fldChar w:fldCharType="begin"/>
        </w:r>
        <w:r w:rsidR="00014085">
          <w:rPr>
            <w:webHidden/>
          </w:rPr>
          <w:instrText xml:space="preserve"> PAGEREF _Toc507057557 \h </w:instrText>
        </w:r>
        <w:r w:rsidR="00014085">
          <w:rPr>
            <w:webHidden/>
          </w:rPr>
        </w:r>
        <w:r w:rsidR="00014085">
          <w:rPr>
            <w:webHidden/>
          </w:rPr>
          <w:fldChar w:fldCharType="separate"/>
        </w:r>
        <w:r w:rsidR="00E73D8A">
          <w:rPr>
            <w:webHidden/>
          </w:rPr>
          <w:t>11</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58" w:history="1">
        <w:r w:rsidR="00014085" w:rsidRPr="007F095E">
          <w:rPr>
            <w:rStyle w:val="Hyperlink"/>
          </w:rPr>
          <w:t>4.3</w:t>
        </w:r>
        <w:r w:rsidR="00014085" w:rsidRPr="00F216AF">
          <w:rPr>
            <w:rFonts w:ascii="Calibri" w:hAnsi="Calibri"/>
            <w:szCs w:val="22"/>
          </w:rPr>
          <w:tab/>
        </w:r>
        <w:r w:rsidR="00014085" w:rsidRPr="007F095E">
          <w:rPr>
            <w:rStyle w:val="Hyperlink"/>
          </w:rPr>
          <w:t xml:space="preserve">Conflict Minerals – </w:t>
        </w:r>
        <w:r w:rsidR="00014085" w:rsidRPr="007F095E">
          <w:rPr>
            <w:rStyle w:val="Hyperlink"/>
            <w:lang w:val="en-US"/>
          </w:rPr>
          <w:t>Abfrage nach</w:t>
        </w:r>
        <w:r w:rsidR="00014085" w:rsidRPr="007F095E">
          <w:rPr>
            <w:rStyle w:val="Hyperlink"/>
          </w:rPr>
          <w:t xml:space="preserve"> Dodd Frank Act Section 1502</w:t>
        </w:r>
        <w:r w:rsidR="00014085">
          <w:rPr>
            <w:webHidden/>
          </w:rPr>
          <w:tab/>
        </w:r>
        <w:r w:rsidR="00014085">
          <w:rPr>
            <w:webHidden/>
          </w:rPr>
          <w:fldChar w:fldCharType="begin"/>
        </w:r>
        <w:r w:rsidR="00014085">
          <w:rPr>
            <w:webHidden/>
          </w:rPr>
          <w:instrText xml:space="preserve"> PAGEREF _Toc507057558 \h </w:instrText>
        </w:r>
        <w:r w:rsidR="00014085">
          <w:rPr>
            <w:webHidden/>
          </w:rPr>
        </w:r>
        <w:r w:rsidR="00014085">
          <w:rPr>
            <w:webHidden/>
          </w:rPr>
          <w:fldChar w:fldCharType="separate"/>
        </w:r>
        <w:r w:rsidR="00E73D8A">
          <w:rPr>
            <w:webHidden/>
          </w:rPr>
          <w:t>11</w:t>
        </w:r>
        <w:r w:rsidR="00014085">
          <w:rPr>
            <w:webHidden/>
          </w:rPr>
          <w:fldChar w:fldCharType="end"/>
        </w:r>
      </w:hyperlink>
    </w:p>
    <w:p w:rsidR="00014085" w:rsidRDefault="00F95E3B" w:rsidP="00010823">
      <w:pPr>
        <w:pStyle w:val="Verzeichnis2"/>
        <w:tabs>
          <w:tab w:val="clear" w:pos="720"/>
          <w:tab w:val="clear" w:pos="9612"/>
          <w:tab w:val="left" w:pos="709"/>
          <w:tab w:val="right" w:leader="dot" w:pos="9624"/>
          <w:tab w:val="right" w:leader="dot" w:pos="10195"/>
        </w:tabs>
        <w:spacing w:after="0"/>
        <w:rPr>
          <w:rStyle w:val="Hyperlink"/>
        </w:rPr>
      </w:pPr>
      <w:hyperlink w:anchor="_Toc507057559" w:history="1">
        <w:r w:rsidR="00014085" w:rsidRPr="007F095E">
          <w:rPr>
            <w:rStyle w:val="Hyperlink"/>
          </w:rPr>
          <w:t>4.4</w:t>
        </w:r>
        <w:r w:rsidR="00014085" w:rsidRPr="00F216AF">
          <w:rPr>
            <w:rFonts w:ascii="Calibri" w:hAnsi="Calibri"/>
            <w:szCs w:val="22"/>
          </w:rPr>
          <w:tab/>
        </w:r>
        <w:r w:rsidR="00014085" w:rsidRPr="007F095E">
          <w:rPr>
            <w:rStyle w:val="Hyperlink"/>
          </w:rPr>
          <w:t>Verbotene und deklarationspflichtige Stoffe</w:t>
        </w:r>
        <w:r w:rsidR="00014085">
          <w:rPr>
            <w:webHidden/>
          </w:rPr>
          <w:tab/>
        </w:r>
        <w:r w:rsidR="00014085">
          <w:rPr>
            <w:webHidden/>
          </w:rPr>
          <w:fldChar w:fldCharType="begin"/>
        </w:r>
        <w:r w:rsidR="00014085">
          <w:rPr>
            <w:webHidden/>
          </w:rPr>
          <w:instrText xml:space="preserve"> PAGEREF _Toc507057559 \h </w:instrText>
        </w:r>
        <w:r w:rsidR="00014085">
          <w:rPr>
            <w:webHidden/>
          </w:rPr>
        </w:r>
        <w:r w:rsidR="00014085">
          <w:rPr>
            <w:webHidden/>
          </w:rPr>
          <w:fldChar w:fldCharType="separate"/>
        </w:r>
        <w:r w:rsidR="00E73D8A">
          <w:rPr>
            <w:webHidden/>
          </w:rPr>
          <w:t>11</w:t>
        </w:r>
        <w:r w:rsidR="00014085">
          <w:rPr>
            <w:webHidden/>
          </w:rPr>
          <w:fldChar w:fldCharType="end"/>
        </w:r>
      </w:hyperlink>
    </w:p>
    <w:p w:rsidR="00010823" w:rsidRPr="00010823" w:rsidRDefault="00010823" w:rsidP="00010823">
      <w:pPr>
        <w:rPr>
          <w:noProof/>
        </w:rPr>
      </w:pPr>
    </w:p>
    <w:p w:rsidR="00014085" w:rsidRPr="00F216AF" w:rsidRDefault="00F95E3B" w:rsidP="00010823">
      <w:pPr>
        <w:pStyle w:val="Verzeichnis1"/>
        <w:tabs>
          <w:tab w:val="right" w:leader="dot" w:pos="9624"/>
        </w:tabs>
        <w:rPr>
          <w:rFonts w:ascii="Calibri" w:hAnsi="Calibri"/>
          <w:szCs w:val="22"/>
        </w:rPr>
      </w:pPr>
      <w:hyperlink w:anchor="_Toc507057560" w:history="1">
        <w:r w:rsidR="00014085" w:rsidRPr="007F095E">
          <w:rPr>
            <w:rStyle w:val="Hyperlink"/>
          </w:rPr>
          <w:t>5</w:t>
        </w:r>
        <w:r w:rsidR="00014085" w:rsidRPr="00F216AF">
          <w:rPr>
            <w:rFonts w:ascii="Calibri" w:hAnsi="Calibri"/>
            <w:szCs w:val="22"/>
          </w:rPr>
          <w:tab/>
        </w:r>
        <w:r w:rsidR="00014085" w:rsidRPr="007F095E">
          <w:rPr>
            <w:rStyle w:val="Hyperlink"/>
          </w:rPr>
          <w:t>Zusätzliche Anforderung für Händler</w:t>
        </w:r>
        <w:r w:rsidR="00014085">
          <w:rPr>
            <w:webHidden/>
          </w:rPr>
          <w:tab/>
        </w:r>
        <w:r w:rsidR="00014085">
          <w:rPr>
            <w:webHidden/>
          </w:rPr>
          <w:fldChar w:fldCharType="begin"/>
        </w:r>
        <w:r w:rsidR="00014085">
          <w:rPr>
            <w:webHidden/>
          </w:rPr>
          <w:instrText xml:space="preserve"> PAGEREF _Toc507057560 \h </w:instrText>
        </w:r>
        <w:r w:rsidR="00014085">
          <w:rPr>
            <w:webHidden/>
          </w:rPr>
        </w:r>
        <w:r w:rsidR="00014085">
          <w:rPr>
            <w:webHidden/>
          </w:rPr>
          <w:fldChar w:fldCharType="separate"/>
        </w:r>
        <w:r w:rsidR="00E73D8A">
          <w:rPr>
            <w:webHidden/>
          </w:rPr>
          <w:t>11</w:t>
        </w:r>
        <w:r w:rsidR="00014085">
          <w:rPr>
            <w:webHidden/>
          </w:rPr>
          <w:fldChar w:fldCharType="end"/>
        </w:r>
      </w:hyperlink>
    </w:p>
    <w:p w:rsidR="00014085" w:rsidRPr="00F216AF" w:rsidRDefault="00F95E3B" w:rsidP="00010823">
      <w:pPr>
        <w:pStyle w:val="Verzeichnis2"/>
        <w:tabs>
          <w:tab w:val="clear" w:pos="720"/>
          <w:tab w:val="clear" w:pos="9612"/>
          <w:tab w:val="left" w:pos="709"/>
          <w:tab w:val="right" w:leader="dot" w:pos="9624"/>
          <w:tab w:val="right" w:leader="dot" w:pos="10195"/>
        </w:tabs>
        <w:spacing w:after="0"/>
        <w:rPr>
          <w:rFonts w:ascii="Calibri" w:hAnsi="Calibri"/>
          <w:szCs w:val="22"/>
        </w:rPr>
      </w:pPr>
      <w:hyperlink w:anchor="_Toc507057561" w:history="1">
        <w:r w:rsidR="00014085" w:rsidRPr="007F095E">
          <w:rPr>
            <w:rStyle w:val="Hyperlink"/>
          </w:rPr>
          <w:t>5.1</w:t>
        </w:r>
        <w:r w:rsidR="00014085" w:rsidRPr="00F216AF">
          <w:rPr>
            <w:rFonts w:ascii="Calibri" w:hAnsi="Calibri"/>
            <w:szCs w:val="22"/>
          </w:rPr>
          <w:tab/>
        </w:r>
        <w:r w:rsidR="00014085" w:rsidRPr="007F095E">
          <w:rPr>
            <w:rStyle w:val="Hyperlink"/>
          </w:rPr>
          <w:t>AS 9120 Schulung</w:t>
        </w:r>
        <w:r w:rsidR="00014085">
          <w:rPr>
            <w:webHidden/>
          </w:rPr>
          <w:tab/>
        </w:r>
        <w:r w:rsidR="00014085">
          <w:rPr>
            <w:webHidden/>
          </w:rPr>
          <w:fldChar w:fldCharType="begin"/>
        </w:r>
        <w:r w:rsidR="00014085">
          <w:rPr>
            <w:webHidden/>
          </w:rPr>
          <w:instrText xml:space="preserve"> PAGEREF _Toc507057561 \h </w:instrText>
        </w:r>
        <w:r w:rsidR="00014085">
          <w:rPr>
            <w:webHidden/>
          </w:rPr>
        </w:r>
        <w:r w:rsidR="00014085">
          <w:rPr>
            <w:webHidden/>
          </w:rPr>
          <w:fldChar w:fldCharType="separate"/>
        </w:r>
        <w:r w:rsidR="00E73D8A">
          <w:rPr>
            <w:webHidden/>
          </w:rPr>
          <w:t>11</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62" w:history="1">
        <w:r w:rsidR="00014085" w:rsidRPr="007F095E">
          <w:rPr>
            <w:rStyle w:val="Hyperlink"/>
          </w:rPr>
          <w:t>5.1.1</w:t>
        </w:r>
        <w:r w:rsidR="00014085" w:rsidRPr="00F216AF">
          <w:rPr>
            <w:rFonts w:ascii="Calibri" w:hAnsi="Calibri"/>
            <w:szCs w:val="22"/>
          </w:rPr>
          <w:tab/>
        </w:r>
        <w:r w:rsidR="00014085" w:rsidRPr="007F095E">
          <w:rPr>
            <w:rStyle w:val="Hyperlink"/>
          </w:rPr>
          <w:t>Authentizitätsprüfung</w:t>
        </w:r>
        <w:r w:rsidR="00014085">
          <w:rPr>
            <w:webHidden/>
          </w:rPr>
          <w:tab/>
        </w:r>
        <w:r w:rsidR="00014085">
          <w:rPr>
            <w:webHidden/>
          </w:rPr>
          <w:fldChar w:fldCharType="begin"/>
        </w:r>
        <w:r w:rsidR="00014085">
          <w:rPr>
            <w:webHidden/>
          </w:rPr>
          <w:instrText xml:space="preserve"> PAGEREF _Toc507057562 \h </w:instrText>
        </w:r>
        <w:r w:rsidR="00014085">
          <w:rPr>
            <w:webHidden/>
          </w:rPr>
        </w:r>
        <w:r w:rsidR="00014085">
          <w:rPr>
            <w:webHidden/>
          </w:rPr>
          <w:fldChar w:fldCharType="separate"/>
        </w:r>
        <w:r w:rsidR="00E73D8A">
          <w:rPr>
            <w:webHidden/>
          </w:rPr>
          <w:t>11</w:t>
        </w:r>
        <w:r w:rsidR="00014085">
          <w:rPr>
            <w:webHidden/>
          </w:rPr>
          <w:fldChar w:fldCharType="end"/>
        </w:r>
      </w:hyperlink>
    </w:p>
    <w:p w:rsidR="00014085" w:rsidRPr="00F216AF" w:rsidRDefault="00F95E3B" w:rsidP="00010823">
      <w:pPr>
        <w:pStyle w:val="Verzeichnis3"/>
        <w:tabs>
          <w:tab w:val="clear" w:pos="720"/>
          <w:tab w:val="left" w:pos="709"/>
          <w:tab w:val="right" w:leader="dot" w:pos="9624"/>
          <w:tab w:val="right" w:leader="dot" w:pos="10195"/>
        </w:tabs>
        <w:spacing w:after="0"/>
        <w:rPr>
          <w:rFonts w:ascii="Calibri" w:hAnsi="Calibri"/>
          <w:szCs w:val="22"/>
        </w:rPr>
      </w:pPr>
      <w:hyperlink w:anchor="_Toc507057563" w:history="1">
        <w:r w:rsidR="00014085" w:rsidRPr="007F095E">
          <w:rPr>
            <w:rStyle w:val="Hyperlink"/>
          </w:rPr>
          <w:t>5.1.2</w:t>
        </w:r>
        <w:r w:rsidR="00014085" w:rsidRPr="00F216AF">
          <w:rPr>
            <w:rFonts w:ascii="Calibri" w:hAnsi="Calibri"/>
            <w:szCs w:val="22"/>
          </w:rPr>
          <w:tab/>
        </w:r>
        <w:r w:rsidR="00014085" w:rsidRPr="007F095E">
          <w:rPr>
            <w:rStyle w:val="Hyperlink"/>
          </w:rPr>
          <w:t>Verdacht auf nicht genehmigte Produkte</w:t>
        </w:r>
        <w:r w:rsidR="00014085">
          <w:rPr>
            <w:webHidden/>
          </w:rPr>
          <w:tab/>
        </w:r>
        <w:r w:rsidR="00014085">
          <w:rPr>
            <w:webHidden/>
          </w:rPr>
          <w:fldChar w:fldCharType="begin"/>
        </w:r>
        <w:r w:rsidR="00014085">
          <w:rPr>
            <w:webHidden/>
          </w:rPr>
          <w:instrText xml:space="preserve"> PAGEREF _Toc507057563 \h </w:instrText>
        </w:r>
        <w:r w:rsidR="00014085">
          <w:rPr>
            <w:webHidden/>
          </w:rPr>
        </w:r>
        <w:r w:rsidR="00014085">
          <w:rPr>
            <w:webHidden/>
          </w:rPr>
          <w:fldChar w:fldCharType="separate"/>
        </w:r>
        <w:r w:rsidR="00E73D8A">
          <w:rPr>
            <w:webHidden/>
          </w:rPr>
          <w:t>11</w:t>
        </w:r>
        <w:r w:rsidR="00014085">
          <w:rPr>
            <w:webHidden/>
          </w:rPr>
          <w:fldChar w:fldCharType="end"/>
        </w:r>
      </w:hyperlink>
    </w:p>
    <w:p w:rsidR="00014085" w:rsidRDefault="00F95E3B" w:rsidP="00010823">
      <w:pPr>
        <w:pStyle w:val="Verzeichnis3"/>
        <w:tabs>
          <w:tab w:val="clear" w:pos="720"/>
          <w:tab w:val="left" w:pos="709"/>
          <w:tab w:val="right" w:leader="dot" w:pos="9624"/>
          <w:tab w:val="right" w:leader="dot" w:pos="10195"/>
        </w:tabs>
        <w:spacing w:after="0"/>
        <w:rPr>
          <w:rStyle w:val="Hyperlink"/>
        </w:rPr>
      </w:pPr>
      <w:hyperlink w:anchor="_Toc507057564" w:history="1">
        <w:r w:rsidR="00014085" w:rsidRPr="007F095E">
          <w:rPr>
            <w:rStyle w:val="Hyperlink"/>
          </w:rPr>
          <w:t>5.1.3</w:t>
        </w:r>
        <w:r w:rsidR="00014085" w:rsidRPr="00F216AF">
          <w:rPr>
            <w:rFonts w:ascii="Calibri" w:hAnsi="Calibri"/>
            <w:szCs w:val="22"/>
          </w:rPr>
          <w:tab/>
        </w:r>
        <w:r w:rsidR="00014085" w:rsidRPr="007F095E">
          <w:rPr>
            <w:rStyle w:val="Hyperlink"/>
          </w:rPr>
          <w:t>Bestandskontrolle</w:t>
        </w:r>
        <w:r w:rsidR="00014085">
          <w:rPr>
            <w:webHidden/>
          </w:rPr>
          <w:tab/>
        </w:r>
        <w:r w:rsidR="00014085">
          <w:rPr>
            <w:webHidden/>
          </w:rPr>
          <w:fldChar w:fldCharType="begin"/>
        </w:r>
        <w:r w:rsidR="00014085">
          <w:rPr>
            <w:webHidden/>
          </w:rPr>
          <w:instrText xml:space="preserve"> PAGEREF _Toc507057564 \h </w:instrText>
        </w:r>
        <w:r w:rsidR="00014085">
          <w:rPr>
            <w:webHidden/>
          </w:rPr>
        </w:r>
        <w:r w:rsidR="00014085">
          <w:rPr>
            <w:webHidden/>
          </w:rPr>
          <w:fldChar w:fldCharType="separate"/>
        </w:r>
        <w:r w:rsidR="00E73D8A">
          <w:rPr>
            <w:webHidden/>
          </w:rPr>
          <w:t>11</w:t>
        </w:r>
        <w:r w:rsidR="00014085">
          <w:rPr>
            <w:webHidden/>
          </w:rPr>
          <w:fldChar w:fldCharType="end"/>
        </w:r>
      </w:hyperlink>
    </w:p>
    <w:p w:rsidR="00010823" w:rsidRPr="00010823" w:rsidRDefault="00010823" w:rsidP="00010823">
      <w:pPr>
        <w:rPr>
          <w:noProof/>
        </w:rPr>
      </w:pPr>
    </w:p>
    <w:p w:rsidR="00014085" w:rsidRDefault="00F95E3B" w:rsidP="00010823">
      <w:pPr>
        <w:pStyle w:val="Verzeichnis1"/>
        <w:tabs>
          <w:tab w:val="right" w:leader="dot" w:pos="9624"/>
        </w:tabs>
        <w:rPr>
          <w:rStyle w:val="Hyperlink"/>
        </w:rPr>
      </w:pPr>
      <w:hyperlink w:anchor="_Toc507057565" w:history="1">
        <w:r w:rsidR="00014085" w:rsidRPr="007F095E">
          <w:rPr>
            <w:rStyle w:val="Hyperlink"/>
            <w:snapToGrid w:val="0"/>
            <w:lang w:val="en-GB"/>
          </w:rPr>
          <w:t>6</w:t>
        </w:r>
        <w:r w:rsidR="00014085" w:rsidRPr="00F216AF">
          <w:rPr>
            <w:rFonts w:ascii="Calibri" w:hAnsi="Calibri"/>
            <w:szCs w:val="22"/>
          </w:rPr>
          <w:tab/>
        </w:r>
        <w:r w:rsidR="00014085" w:rsidRPr="007F095E">
          <w:rPr>
            <w:rStyle w:val="Hyperlink"/>
            <w:lang w:val="en-GB"/>
          </w:rPr>
          <w:t xml:space="preserve">Laufzeit, </w:t>
        </w:r>
        <w:r w:rsidR="00014085" w:rsidRPr="007F095E">
          <w:rPr>
            <w:rStyle w:val="Hyperlink"/>
            <w:snapToGrid w:val="0"/>
            <w:lang w:val="en-GB"/>
          </w:rPr>
          <w:t>Kündigung</w:t>
        </w:r>
        <w:r w:rsidR="00014085">
          <w:rPr>
            <w:webHidden/>
          </w:rPr>
          <w:tab/>
        </w:r>
        <w:r w:rsidR="00014085">
          <w:rPr>
            <w:webHidden/>
          </w:rPr>
          <w:fldChar w:fldCharType="begin"/>
        </w:r>
        <w:r w:rsidR="00014085">
          <w:rPr>
            <w:webHidden/>
          </w:rPr>
          <w:instrText xml:space="preserve"> PAGEREF _Toc507057565 \h </w:instrText>
        </w:r>
        <w:r w:rsidR="00014085">
          <w:rPr>
            <w:webHidden/>
          </w:rPr>
        </w:r>
        <w:r w:rsidR="00014085">
          <w:rPr>
            <w:webHidden/>
          </w:rPr>
          <w:fldChar w:fldCharType="separate"/>
        </w:r>
        <w:r w:rsidR="00E73D8A">
          <w:rPr>
            <w:webHidden/>
          </w:rPr>
          <w:t>12</w:t>
        </w:r>
        <w:r w:rsidR="00014085">
          <w:rPr>
            <w:webHidden/>
          </w:rPr>
          <w:fldChar w:fldCharType="end"/>
        </w:r>
      </w:hyperlink>
    </w:p>
    <w:p w:rsidR="00010823" w:rsidRPr="00010823" w:rsidRDefault="00010823" w:rsidP="00010823">
      <w:pPr>
        <w:rPr>
          <w:noProof/>
        </w:rPr>
      </w:pPr>
    </w:p>
    <w:p w:rsidR="00014085" w:rsidRDefault="00F95E3B" w:rsidP="00010823">
      <w:pPr>
        <w:pStyle w:val="Verzeichnis1"/>
        <w:tabs>
          <w:tab w:val="right" w:leader="dot" w:pos="9624"/>
        </w:tabs>
        <w:rPr>
          <w:rStyle w:val="Hyperlink"/>
        </w:rPr>
      </w:pPr>
      <w:hyperlink w:anchor="_Toc507057566" w:history="1">
        <w:r w:rsidR="00014085" w:rsidRPr="007F095E">
          <w:rPr>
            <w:rStyle w:val="Hyperlink"/>
            <w:snapToGrid w:val="0"/>
            <w:lang w:val="en-GB"/>
          </w:rPr>
          <w:t>7</w:t>
        </w:r>
        <w:r w:rsidR="00014085" w:rsidRPr="00F216AF">
          <w:rPr>
            <w:rFonts w:ascii="Calibri" w:hAnsi="Calibri"/>
            <w:szCs w:val="22"/>
          </w:rPr>
          <w:tab/>
        </w:r>
        <w:r w:rsidR="00014085" w:rsidRPr="007F095E">
          <w:rPr>
            <w:rStyle w:val="Hyperlink"/>
            <w:snapToGrid w:val="0"/>
            <w:lang w:val="en-GB"/>
          </w:rPr>
          <w:t>Allgemeines</w:t>
        </w:r>
        <w:r w:rsidR="00014085">
          <w:rPr>
            <w:webHidden/>
          </w:rPr>
          <w:tab/>
        </w:r>
        <w:r w:rsidR="00014085">
          <w:rPr>
            <w:webHidden/>
          </w:rPr>
          <w:fldChar w:fldCharType="begin"/>
        </w:r>
        <w:r w:rsidR="00014085">
          <w:rPr>
            <w:webHidden/>
          </w:rPr>
          <w:instrText xml:space="preserve"> PAGEREF _Toc507057566 \h </w:instrText>
        </w:r>
        <w:r w:rsidR="00014085">
          <w:rPr>
            <w:webHidden/>
          </w:rPr>
        </w:r>
        <w:r w:rsidR="00014085">
          <w:rPr>
            <w:webHidden/>
          </w:rPr>
          <w:fldChar w:fldCharType="separate"/>
        </w:r>
        <w:r w:rsidR="00E73D8A">
          <w:rPr>
            <w:webHidden/>
          </w:rPr>
          <w:t>12</w:t>
        </w:r>
        <w:r w:rsidR="00014085">
          <w:rPr>
            <w:webHidden/>
          </w:rPr>
          <w:fldChar w:fldCharType="end"/>
        </w:r>
      </w:hyperlink>
    </w:p>
    <w:p w:rsidR="00010823" w:rsidRPr="00010823" w:rsidRDefault="00010823" w:rsidP="00010823">
      <w:pPr>
        <w:rPr>
          <w:noProof/>
        </w:rPr>
      </w:pPr>
    </w:p>
    <w:p w:rsidR="00014085" w:rsidRPr="00F216AF" w:rsidRDefault="00F95E3B" w:rsidP="00010823">
      <w:pPr>
        <w:pStyle w:val="Verzeichnis1"/>
        <w:tabs>
          <w:tab w:val="right" w:leader="dot" w:pos="9624"/>
        </w:tabs>
        <w:rPr>
          <w:rFonts w:ascii="Calibri" w:hAnsi="Calibri"/>
          <w:szCs w:val="22"/>
        </w:rPr>
      </w:pPr>
      <w:hyperlink w:anchor="_Toc507057567" w:history="1">
        <w:r w:rsidR="00014085" w:rsidRPr="007F095E">
          <w:rPr>
            <w:rStyle w:val="Hyperlink"/>
            <w:snapToGrid w:val="0"/>
          </w:rPr>
          <w:t>8</w:t>
        </w:r>
        <w:r w:rsidR="00014085" w:rsidRPr="00F216AF">
          <w:rPr>
            <w:rFonts w:ascii="Calibri" w:hAnsi="Calibri"/>
            <w:szCs w:val="22"/>
          </w:rPr>
          <w:tab/>
        </w:r>
        <w:r w:rsidR="00014085" w:rsidRPr="007F095E">
          <w:rPr>
            <w:rStyle w:val="Hyperlink"/>
            <w:snapToGrid w:val="0"/>
          </w:rPr>
          <w:t>Anlagen</w:t>
        </w:r>
        <w:r w:rsidR="00014085">
          <w:rPr>
            <w:webHidden/>
          </w:rPr>
          <w:tab/>
        </w:r>
        <w:r w:rsidR="00014085">
          <w:rPr>
            <w:webHidden/>
          </w:rPr>
          <w:fldChar w:fldCharType="begin"/>
        </w:r>
        <w:r w:rsidR="00014085">
          <w:rPr>
            <w:webHidden/>
          </w:rPr>
          <w:instrText xml:space="preserve"> PAGEREF _Toc507057567 \h </w:instrText>
        </w:r>
        <w:r w:rsidR="00014085">
          <w:rPr>
            <w:webHidden/>
          </w:rPr>
        </w:r>
        <w:r w:rsidR="00014085">
          <w:rPr>
            <w:webHidden/>
          </w:rPr>
          <w:fldChar w:fldCharType="separate"/>
        </w:r>
        <w:r w:rsidR="00E73D8A">
          <w:rPr>
            <w:webHidden/>
          </w:rPr>
          <w:t>12</w:t>
        </w:r>
        <w:r w:rsidR="00014085">
          <w:rPr>
            <w:webHidden/>
          </w:rPr>
          <w:fldChar w:fldCharType="end"/>
        </w:r>
      </w:hyperlink>
    </w:p>
    <w:p w:rsidR="00695BE5" w:rsidRDefault="00695BE5" w:rsidP="00010823">
      <w:pPr>
        <w:pStyle w:val="StandardZentriert"/>
        <w:tabs>
          <w:tab w:val="left" w:pos="709"/>
          <w:tab w:val="right" w:leader="dot" w:pos="9624"/>
          <w:tab w:val="right" w:leader="dot" w:pos="10195"/>
        </w:tabs>
        <w:jc w:val="left"/>
        <w:rPr>
          <w:sz w:val="24"/>
          <w:szCs w:val="24"/>
          <w:lang w:val="en-GB"/>
        </w:rPr>
      </w:pPr>
      <w:r w:rsidRPr="00495F1B">
        <w:rPr>
          <w:sz w:val="24"/>
          <w:szCs w:val="24"/>
          <w:lang w:val="en-GB"/>
        </w:rPr>
        <w:fldChar w:fldCharType="end"/>
      </w:r>
    </w:p>
    <w:p w:rsidR="001661FE" w:rsidRDefault="001661FE" w:rsidP="00010823">
      <w:pPr>
        <w:rPr>
          <w:lang w:val="en-GB"/>
        </w:rPr>
      </w:pPr>
    </w:p>
    <w:p w:rsidR="001661FE" w:rsidRPr="001661FE" w:rsidRDefault="001661FE" w:rsidP="00010823"/>
    <w:p w:rsidR="00695BE5" w:rsidRPr="00FF0C67" w:rsidRDefault="00F35222" w:rsidP="009A31AF">
      <w:pPr>
        <w:pStyle w:val="berschrift1"/>
        <w:spacing w:before="0"/>
      </w:pPr>
      <w:bookmarkStart w:id="3" w:name="_Toc507057521"/>
      <w:r w:rsidRPr="00FF0C67">
        <w:t>Verantwortung des Lieferanten für die Qualität seiner Produkte und Dienstleistungen</w:t>
      </w:r>
      <w:bookmarkEnd w:id="3"/>
    </w:p>
    <w:p w:rsidR="0004155F" w:rsidRPr="009A741C" w:rsidRDefault="0004155F" w:rsidP="0004155F">
      <w:pPr>
        <w:pStyle w:val="StandardBlock"/>
        <w:rPr>
          <w:lang w:val="de-DE"/>
        </w:rPr>
      </w:pPr>
      <w:r w:rsidRPr="009A741C">
        <w:rPr>
          <w:lang w:val="de-DE"/>
        </w:rPr>
        <w:t xml:space="preserve">Diese Qualitätssicherungsvereinbarung mit </w:t>
      </w:r>
      <w:r w:rsidR="001F0C25" w:rsidRPr="009A741C">
        <w:rPr>
          <w:lang w:val="de-DE"/>
        </w:rPr>
        <w:t>Aerospace Lieferanten</w:t>
      </w:r>
      <w:r w:rsidRPr="009A741C">
        <w:rPr>
          <w:lang w:val="de-DE"/>
        </w:rPr>
        <w:t xml:space="preserve"> (QSV) ist die verbindliche Festlegung der technischen und organisatorischen Rahmenbedingungen bezüglich sämtlicher Lieferungen und Leistungen an </w:t>
      </w:r>
      <w:r w:rsidR="00F30751" w:rsidRPr="009A741C">
        <w:rPr>
          <w:lang w:val="de-DE"/>
        </w:rPr>
        <w:t>den Kunden</w:t>
      </w:r>
      <w:r w:rsidRPr="009A741C">
        <w:rPr>
          <w:lang w:val="de-DE"/>
        </w:rPr>
        <w:t>, die zur Erreichung des gemeinsam angestrebten Qualitätszieles „Null Fehler“ erforderlich sind. Sie beschreibt die Mindestanforderungen an das Qualitätsmanagementsystem des Lieferanten.</w:t>
      </w:r>
    </w:p>
    <w:p w:rsidR="0004155F" w:rsidRPr="009A741C" w:rsidRDefault="0004155F" w:rsidP="0004155F">
      <w:pPr>
        <w:pStyle w:val="StandardBlock"/>
        <w:rPr>
          <w:lang w:val="de-DE"/>
        </w:rPr>
      </w:pPr>
      <w:r w:rsidRPr="009A741C">
        <w:rPr>
          <w:lang w:val="de-DE"/>
        </w:rPr>
        <w:t xml:space="preserve">Die Qualitätsstrategie des Lieferanten ist auf ständige Verbesserungen seiner Prozesse und Leistungen auszurichten. Hierzu gehört auch die Qualifizierung aller Mitarbeiter, um die notwendigen Kompetenzen zur Erfüllung der Kundenanforderungen an Produkte, Prozesse und </w:t>
      </w:r>
      <w:r w:rsidR="00057BA1">
        <w:rPr>
          <w:lang w:val="de-DE"/>
        </w:rPr>
        <w:t>L</w:t>
      </w:r>
      <w:r w:rsidRPr="009A741C">
        <w:rPr>
          <w:lang w:val="de-DE"/>
        </w:rPr>
        <w:t>eistungen sicherzustellen.</w:t>
      </w:r>
    </w:p>
    <w:p w:rsidR="0004155F" w:rsidRPr="009A741C" w:rsidRDefault="0004155F" w:rsidP="0004155F">
      <w:pPr>
        <w:pStyle w:val="StandardBlock"/>
        <w:rPr>
          <w:lang w:val="de-DE"/>
        </w:rPr>
      </w:pPr>
      <w:r w:rsidRPr="009A741C">
        <w:rPr>
          <w:lang w:val="de-DE"/>
        </w:rPr>
        <w:t>Weiterhin verpflichtet sich der Lieferant den Zielen „Null Fehler“, 100% Liefertreue sowie der Einhaltung zugesagter Termine und der Senkung von Kosten.</w:t>
      </w:r>
    </w:p>
    <w:p w:rsidR="005308A2" w:rsidRPr="009A741C" w:rsidRDefault="0004155F" w:rsidP="00712BCC">
      <w:pPr>
        <w:pStyle w:val="StandardBlock"/>
        <w:rPr>
          <w:lang w:val="de-DE"/>
        </w:rPr>
      </w:pPr>
      <w:r w:rsidRPr="009A741C">
        <w:rPr>
          <w:lang w:val="de-DE"/>
        </w:rPr>
        <w:t>Der Lieferant ist entsprechend den schriftlich vereinbarten technischen Unterlagen (siehe Kapitel 3.1) verantwortlich für die fehlerfreie Ausführung seiner Produkte und Leistungen. er hat die Vollständigkeit und Korrektheit der Unterlagen zu überprüfen und, soweit erforderlich, weitere Informationen vom Kunden anzufordern. Der Lieferant muss die Anforderungen an das Produkt kennen und sich bei Unklarheiten beim Kunden informieren.</w:t>
      </w:r>
    </w:p>
    <w:p w:rsidR="005308A2" w:rsidRPr="009A741C" w:rsidRDefault="007E64D4" w:rsidP="00712BCC">
      <w:pPr>
        <w:pStyle w:val="StandardBlock"/>
        <w:rPr>
          <w:lang w:val="de-DE"/>
        </w:rPr>
      </w:pPr>
      <w:r w:rsidRPr="00FF0C67">
        <w:rPr>
          <w:szCs w:val="22"/>
          <w:lang w:val="de-DE"/>
        </w:rPr>
        <w:t xml:space="preserve">Vergibt der Lieferant Aufträge an Unterlieferanten, so ist er verpflichtet, die Anforderungen dieser Qualitätssicherungsvereinbarung mit </w:t>
      </w:r>
      <w:r w:rsidRPr="009A741C">
        <w:rPr>
          <w:szCs w:val="22"/>
          <w:lang w:val="de-DE"/>
        </w:rPr>
        <w:t>Aerospace-</w:t>
      </w:r>
      <w:r w:rsidRPr="00FF0C67">
        <w:rPr>
          <w:szCs w:val="22"/>
          <w:lang w:val="de-DE"/>
        </w:rPr>
        <w:t xml:space="preserve">Lieferanten (QSV / S 296004), der Bestellungen und geltender behördlichen Anforderungen </w:t>
      </w:r>
      <w:r w:rsidRPr="00FF0C67">
        <w:rPr>
          <w:lang w:val="de-DE"/>
        </w:rPr>
        <w:t>auch in Richtung seiner Unterlieferanten umzusetzen</w:t>
      </w:r>
    </w:p>
    <w:p w:rsidR="00712BCC" w:rsidRPr="00FF0C67" w:rsidRDefault="00712BCC" w:rsidP="00712BCC">
      <w:pPr>
        <w:pStyle w:val="StandardBlock"/>
        <w:rPr>
          <w:lang w:val="de-DE"/>
        </w:rPr>
      </w:pPr>
      <w:r w:rsidRPr="00FF0C67">
        <w:rPr>
          <w:lang w:val="de-DE"/>
        </w:rPr>
        <w:t>Diese QSV entbindet den Lieferanten nicht von seiner uneingeschränkten Produktverantwortung und den daraus möglicherweise erwachsenden Problemen</w:t>
      </w:r>
    </w:p>
    <w:p w:rsidR="007E64D4" w:rsidRPr="00FF0C67" w:rsidRDefault="007E64D4" w:rsidP="00FF0C67">
      <w:pPr>
        <w:pStyle w:val="StandardBlock"/>
        <w:rPr>
          <w:lang w:val="de-DE"/>
        </w:rPr>
      </w:pPr>
      <w:r w:rsidRPr="00FF0C67">
        <w:rPr>
          <w:lang w:val="de-DE"/>
        </w:rPr>
        <w:t>Der Lieferant trägt die uneingeschränkte Verantwortung für das von ihm gelieferte Produkt bzw. die von ihm erbrachte Leistung einschließlich Produkte bzw. Leistungen aus den vom Kunden bezeichneten Bezugsquellen.</w:t>
      </w:r>
    </w:p>
    <w:p w:rsidR="00282DC6" w:rsidRPr="00FF0C67" w:rsidRDefault="00282DC6" w:rsidP="00282DC6">
      <w:pPr>
        <w:pStyle w:val="StandardBlock"/>
        <w:rPr>
          <w:lang w:val="de-DE"/>
        </w:rPr>
      </w:pPr>
      <w:r w:rsidRPr="009A741C">
        <w:rPr>
          <w:lang w:val="de-DE"/>
        </w:rPr>
        <w:t>Die Auftragserfüllung bzw. vorgenannten Verpflichtungen sind durch angemessene Notfallpläne unter Abwägung von potenziellen Risiken oder Schwächen sicherzustellen.</w:t>
      </w:r>
    </w:p>
    <w:p w:rsidR="00695BE5" w:rsidRPr="009A741C" w:rsidRDefault="003D469B" w:rsidP="00F03674">
      <w:pPr>
        <w:pStyle w:val="berschrift1"/>
        <w:tabs>
          <w:tab w:val="clear" w:pos="360"/>
        </w:tabs>
        <w:spacing w:after="0"/>
        <w:rPr>
          <w:lang w:val="en-GB"/>
        </w:rPr>
      </w:pPr>
      <w:bookmarkStart w:id="4" w:name="_Toc505949865"/>
      <w:bookmarkStart w:id="5" w:name="_Toc506465012"/>
      <w:bookmarkStart w:id="6" w:name="_Toc505949869"/>
      <w:bookmarkStart w:id="7" w:name="_Toc506465016"/>
      <w:bookmarkStart w:id="8" w:name="_Toc213213481"/>
      <w:bookmarkStart w:id="9" w:name="_Toc507057522"/>
      <w:bookmarkEnd w:id="4"/>
      <w:bookmarkEnd w:id="5"/>
      <w:bookmarkEnd w:id="6"/>
      <w:bookmarkEnd w:id="7"/>
      <w:bookmarkEnd w:id="8"/>
      <w:r w:rsidRPr="009A741C">
        <w:rPr>
          <w:lang w:val="en-GB"/>
        </w:rPr>
        <w:t>Qualit</w:t>
      </w:r>
      <w:r w:rsidR="00AC6798" w:rsidRPr="009A741C">
        <w:rPr>
          <w:lang w:val="en-GB"/>
        </w:rPr>
        <w:t>äts</w:t>
      </w:r>
      <w:r w:rsidR="002B59C0" w:rsidRPr="009A741C">
        <w:rPr>
          <w:lang w:val="en-GB"/>
        </w:rPr>
        <w:t>m</w:t>
      </w:r>
      <w:r w:rsidRPr="009A741C">
        <w:rPr>
          <w:lang w:val="en-GB"/>
        </w:rPr>
        <w:t>anagement</w:t>
      </w:r>
      <w:r w:rsidR="00F779D7" w:rsidRPr="009A741C">
        <w:rPr>
          <w:lang w:val="en-GB"/>
        </w:rPr>
        <w:t>s</w:t>
      </w:r>
      <w:r w:rsidRPr="009A741C">
        <w:rPr>
          <w:lang w:val="en-GB"/>
        </w:rPr>
        <w:t>ystem</w:t>
      </w:r>
      <w:bookmarkEnd w:id="9"/>
    </w:p>
    <w:p w:rsidR="00695BE5" w:rsidRPr="009A741C" w:rsidRDefault="00F23080" w:rsidP="00257AF3">
      <w:pPr>
        <w:pStyle w:val="berschrift2"/>
        <w:tabs>
          <w:tab w:val="clear" w:pos="360"/>
          <w:tab w:val="num" w:pos="720"/>
        </w:tabs>
      </w:pPr>
      <w:bookmarkStart w:id="10" w:name="_Toc507057523"/>
      <w:r w:rsidRPr="009A741C">
        <w:t>Allgemeines</w:t>
      </w:r>
      <w:bookmarkEnd w:id="10"/>
    </w:p>
    <w:p w:rsidR="00F23080" w:rsidRPr="00461670" w:rsidRDefault="00F23080" w:rsidP="00F23080">
      <w:pPr>
        <w:widowControl w:val="0"/>
      </w:pPr>
      <w:r w:rsidRPr="009A741C">
        <w:t>Als Lieferant</w:t>
      </w:r>
      <w:r w:rsidRPr="00461670">
        <w:t xml:space="preserve"> der Schaeffler Gruppe</w:t>
      </w:r>
      <w:r w:rsidR="00FF0C67" w:rsidRPr="00461670">
        <w:t xml:space="preserve"> für den Bereich Aerospace</w:t>
      </w:r>
      <w:r w:rsidRPr="00461670">
        <w:t xml:space="preserve"> ist eine Zertifizierung nach ISO 9001 (oder gleichwertigem Standard) Grundvoraussetzung.</w:t>
      </w:r>
    </w:p>
    <w:p w:rsidR="00F23080" w:rsidRPr="00461670" w:rsidRDefault="00F23080" w:rsidP="00F23080">
      <w:pPr>
        <w:widowControl w:val="0"/>
      </w:pPr>
    </w:p>
    <w:p w:rsidR="00B53460" w:rsidRPr="00461670" w:rsidRDefault="0046497F" w:rsidP="00FF0C67">
      <w:r w:rsidRPr="00461670">
        <w:t>Um</w:t>
      </w:r>
      <w:r w:rsidR="00F23080" w:rsidRPr="00461670">
        <w:t xml:space="preserve"> Einstufung als Strategischer Lieferant</w:t>
      </w:r>
      <w:r w:rsidRPr="00461670">
        <w:t xml:space="preserve"> für den Bereich Aerospace zu erlangen</w:t>
      </w:r>
      <w:r w:rsidR="00F23080" w:rsidRPr="00461670">
        <w:t xml:space="preserve">, </w:t>
      </w:r>
      <w:r w:rsidRPr="00461670">
        <w:t>muss</w:t>
      </w:r>
      <w:r w:rsidR="00F23080" w:rsidRPr="00461670">
        <w:t xml:space="preserve"> der Lieferant </w:t>
      </w:r>
      <w:r w:rsidRPr="00461670">
        <w:t xml:space="preserve">eine Zertifizierung nach </w:t>
      </w:r>
      <w:r w:rsidR="00F23080" w:rsidRPr="00461670">
        <w:t xml:space="preserve">AS9100 und / oder AS9120 </w:t>
      </w:r>
      <w:r w:rsidRPr="00461670">
        <w:t>nachweisen</w:t>
      </w:r>
      <w:r w:rsidR="00F23080" w:rsidRPr="00461670">
        <w:t>.</w:t>
      </w:r>
    </w:p>
    <w:p w:rsidR="003D469B" w:rsidRPr="009A741C" w:rsidRDefault="008C5E28" w:rsidP="00257AF3">
      <w:pPr>
        <w:pStyle w:val="berschrift2"/>
        <w:tabs>
          <w:tab w:val="clear" w:pos="360"/>
          <w:tab w:val="num" w:pos="720"/>
        </w:tabs>
      </w:pPr>
      <w:bookmarkStart w:id="11" w:name="_Toc507057524"/>
      <w:r w:rsidRPr="009A741C">
        <w:t>Nachweis des</w:t>
      </w:r>
      <w:r w:rsidR="00F270E3" w:rsidRPr="009A741C">
        <w:t xml:space="preserve"> </w:t>
      </w:r>
      <w:r w:rsidRPr="009A741C">
        <w:t>Q</w:t>
      </w:r>
      <w:r w:rsidR="002B59C0" w:rsidRPr="009A741C">
        <w:t>ualit</w:t>
      </w:r>
      <w:r w:rsidRPr="009A741C">
        <w:t>äts</w:t>
      </w:r>
      <w:r w:rsidR="002B59C0" w:rsidRPr="009A741C">
        <w:t>managementsystem</w:t>
      </w:r>
      <w:bookmarkEnd w:id="11"/>
    </w:p>
    <w:p w:rsidR="0086097F" w:rsidRPr="009A741C" w:rsidRDefault="0086097F" w:rsidP="0086097F">
      <w:pPr>
        <w:widowControl w:val="0"/>
      </w:pPr>
      <w:r w:rsidRPr="009A741C">
        <w:t xml:space="preserve">Der Lieferant hat dem </w:t>
      </w:r>
      <w:r w:rsidR="0004155F" w:rsidRPr="009A741C">
        <w:t>fachlich zuständigen</w:t>
      </w:r>
      <w:r w:rsidR="0004155F" w:rsidRPr="00FF0C67">
        <w:t xml:space="preserve"> E</w:t>
      </w:r>
      <w:r w:rsidR="0004155F" w:rsidRPr="009A741C">
        <w:t xml:space="preserve">inkauf des Kunden eigenverantwortlich seine Zertifikate unter Angabe des Anwendungsbereichs, vorzugsweise am Schaeffler Internet-Marktplatz SupplyOn (nähere Informationen siehe </w:t>
      </w:r>
      <w:hyperlink r:id="rId8" w:history="1">
        <w:r w:rsidR="0004155F" w:rsidRPr="009A741C">
          <w:rPr>
            <w:rStyle w:val="Hyperlink"/>
            <w:color w:val="auto"/>
            <w:sz w:val="22"/>
          </w:rPr>
          <w:t>www.suplyon.com</w:t>
        </w:r>
      </w:hyperlink>
      <w:r w:rsidR="0004155F" w:rsidRPr="009A741C">
        <w:t xml:space="preserve">), vorzulegen und </w:t>
      </w:r>
      <w:r w:rsidR="0004155F" w:rsidRPr="009A741C">
        <w:lastRenderedPageBreak/>
        <w:t>Aktualisierungen jeweils unmittelbar nach Ablauf des Gültigkeitszeitraums oder bei Entzug eines Zertifikates zu melden. Für die Festlegung des Anwendungsbereichs muss der Lieferant sowohl den Kontext seiner Organisation, wie auch die Erwartungen interessierter Parteien und externer Themen, in diesem Fall des Kunden (Schaeffler Gruppe) beachten und erfüllen.</w:t>
      </w:r>
      <w:r w:rsidRPr="009A741C">
        <w:t xml:space="preserve"> Versäumnisse beim Erreichen bzw. </w:t>
      </w:r>
      <w:r w:rsidR="006C5B6B" w:rsidRPr="009A741C">
        <w:t>E</w:t>
      </w:r>
      <w:r w:rsidRPr="009A741C">
        <w:t>rhalten der Zertifizierung nach AS9100 bzw. AS9120 führen in der Lieferantenbewertung zu einer Abstufung</w:t>
      </w:r>
      <w:r w:rsidR="00003C12" w:rsidRPr="00003C12">
        <w:t xml:space="preserve">. </w:t>
      </w:r>
      <w:r w:rsidRPr="00003C12">
        <w:t xml:space="preserve">(siehe Anlage 3, </w:t>
      </w:r>
      <w:r w:rsidR="003022E5" w:rsidRPr="00003C12">
        <w:rPr>
          <w:i/>
        </w:rPr>
        <w:t>Lieferantenbewertung Einleitung und Berechnung</w:t>
      </w:r>
      <w:r w:rsidRPr="00003C12">
        <w:t>).</w:t>
      </w:r>
    </w:p>
    <w:p w:rsidR="00695BE5" w:rsidRPr="009A741C" w:rsidRDefault="00695BE5" w:rsidP="00695BE5">
      <w:pPr>
        <w:tabs>
          <w:tab w:val="clear" w:pos="2552"/>
        </w:tabs>
        <w:ind w:left="142"/>
        <w:rPr>
          <w:sz w:val="2"/>
        </w:rPr>
      </w:pPr>
    </w:p>
    <w:p w:rsidR="00695BE5" w:rsidRPr="00FF0C67" w:rsidRDefault="00F779D7" w:rsidP="00257AF3">
      <w:pPr>
        <w:pStyle w:val="berschrift2"/>
        <w:tabs>
          <w:tab w:val="clear" w:pos="360"/>
          <w:tab w:val="num" w:pos="720"/>
        </w:tabs>
        <w:rPr>
          <w:lang w:val="de-DE"/>
        </w:rPr>
      </w:pPr>
      <w:bookmarkStart w:id="12" w:name="_Toc507057525"/>
      <w:r w:rsidRPr="00FF0C67">
        <w:rPr>
          <w:lang w:val="de-DE"/>
        </w:rPr>
        <w:t xml:space="preserve">Überprüfung des Qualitätsmanagementsystem, der Prozess- bzw. </w:t>
      </w:r>
      <w:r w:rsidRPr="009A741C">
        <w:rPr>
          <w:lang w:val="de-DE"/>
        </w:rPr>
        <w:t>Produktqualität</w:t>
      </w:r>
      <w:bookmarkEnd w:id="12"/>
    </w:p>
    <w:p w:rsidR="0075285E" w:rsidRPr="00FF0C67" w:rsidRDefault="0075285E" w:rsidP="00FF0C67">
      <w:pPr>
        <w:pStyle w:val="StandardBlock"/>
        <w:rPr>
          <w:lang w:val="de-DE"/>
        </w:rPr>
      </w:pPr>
      <w:r w:rsidRPr="00FF0C67">
        <w:rPr>
          <w:lang w:val="de-DE"/>
        </w:rPr>
        <w:t>Der Lieferant hat in regelmäßigen Abständen interne Prozess- und Produktaudits durchzuführen.</w:t>
      </w:r>
    </w:p>
    <w:p w:rsidR="0075285E" w:rsidRPr="00FF0C67" w:rsidRDefault="0075285E" w:rsidP="00FF0C67">
      <w:pPr>
        <w:pStyle w:val="StandardBlock"/>
        <w:rPr>
          <w:lang w:val="de-DE"/>
        </w:rPr>
      </w:pPr>
      <w:r w:rsidRPr="00FF0C67">
        <w:rPr>
          <w:lang w:val="de-DE"/>
        </w:rPr>
        <w:t>Der Kunde hat im Fall von Qualitätsmängeln oder Systemschwächen des Lieferanten das Recht, beim Lieferanten die Einhaltung der Kundenanforderungen zu überprüfen. Diese Überprüfung kann je nach Sachlage als technisches Gespräch oder System- oder Prozessaudit durchgeführt werden und wird mit dem Lieferanten rechtzeitig vor geplanter Durchführung vereinbart.</w:t>
      </w:r>
    </w:p>
    <w:p w:rsidR="0075285E" w:rsidRPr="00FF0C67" w:rsidRDefault="0075285E" w:rsidP="00803F95">
      <w:pPr>
        <w:pStyle w:val="StandardBlock"/>
        <w:rPr>
          <w:lang w:val="de-DE"/>
        </w:rPr>
      </w:pPr>
    </w:p>
    <w:p w:rsidR="0075285E" w:rsidRPr="009A741C" w:rsidRDefault="0075285E" w:rsidP="0075285E">
      <w:pPr>
        <w:widowControl w:val="0"/>
      </w:pPr>
      <w:r w:rsidRPr="009A741C">
        <w:t>Darüber hinaus ist der Kunde berechtigt, bei Bedarf die Qualitätssicherungsmaßnahmen des Lieferanten auch mit einem Beauftragten des Endkunden, der zuständigen Regulierungs- oder Sicherheitsbehörden und externer Prüfer nach vorheriger Terminabstimmung zu überprüfen.</w:t>
      </w:r>
    </w:p>
    <w:p w:rsidR="0075285E" w:rsidRPr="009A741C" w:rsidRDefault="0075285E" w:rsidP="0075285E">
      <w:pPr>
        <w:widowControl w:val="0"/>
      </w:pPr>
    </w:p>
    <w:p w:rsidR="0075285E" w:rsidRPr="009A741C" w:rsidRDefault="0075285E" w:rsidP="0075285E">
      <w:pPr>
        <w:widowControl w:val="0"/>
      </w:pPr>
      <w:r w:rsidRPr="009A741C">
        <w:t>Der Lieferant wird dem Kunden, dem Endkunden, den zuständigen Regulierungs- oder Sicherheitsbehörden und den beauftragten externen Prüfern Zugang zu den betroffenen Bereichen in allen Einrichtungen und Ebenen der Lieferkette sowie Einblick in die entsprechenden Unterlagen, die der Kunde oder die untersuchende Partei für relevant hält, gestatten.</w:t>
      </w:r>
    </w:p>
    <w:p w:rsidR="00695BE5" w:rsidRPr="009A741C" w:rsidRDefault="00BC2DDC" w:rsidP="00BE18A2">
      <w:pPr>
        <w:pStyle w:val="berschrift1"/>
        <w:rPr>
          <w:lang w:val="en-GB"/>
        </w:rPr>
      </w:pPr>
      <w:bookmarkStart w:id="13" w:name="_Toc167692042"/>
      <w:bookmarkStart w:id="14" w:name="_Toc507057526"/>
      <w:bookmarkEnd w:id="13"/>
      <w:r w:rsidRPr="009A741C">
        <w:rPr>
          <w:lang w:val="en-GB"/>
        </w:rPr>
        <w:t>Grun</w:t>
      </w:r>
      <w:r w:rsidR="00FF0C67">
        <w:rPr>
          <w:lang w:val="en-GB"/>
        </w:rPr>
        <w:t>d</w:t>
      </w:r>
      <w:r w:rsidRPr="009A741C">
        <w:rPr>
          <w:lang w:val="en-GB"/>
        </w:rPr>
        <w:t>sätzliche Voraussetzungen und Maßnahmen</w:t>
      </w:r>
      <w:bookmarkEnd w:id="14"/>
    </w:p>
    <w:p w:rsidR="0017749D" w:rsidRPr="009A741C" w:rsidRDefault="00BC2DDC" w:rsidP="00FF0C67">
      <w:pPr>
        <w:widowControl w:val="0"/>
      </w:pPr>
      <w:r w:rsidRPr="009A741C">
        <w:t xml:space="preserve">Um Fehlerquellen möglichst im Vorfeld zu erkennen, sind gezielte vorbeugende Maßnahmen einzuleiten. Während der Fertigung auftretende Fehler müssen erkannt und geeignete Sofortmaßnahmen zu deren </w:t>
      </w:r>
      <w:r w:rsidRPr="00FF0C67">
        <w:t>Korrektur</w:t>
      </w:r>
      <w:r w:rsidRPr="009A741C">
        <w:t xml:space="preserve"> </w:t>
      </w:r>
      <w:r w:rsidRPr="00FF0C67">
        <w:t>eingeleitet werden.</w:t>
      </w:r>
      <w:r w:rsidR="0021573A" w:rsidRPr="009A741C">
        <w:t xml:space="preserve"> </w:t>
      </w:r>
    </w:p>
    <w:p w:rsidR="00695BE5" w:rsidRPr="009A741C" w:rsidRDefault="00695BE5" w:rsidP="00E73A3F">
      <w:pPr>
        <w:pStyle w:val="berschrift2"/>
      </w:pPr>
      <w:bookmarkStart w:id="15" w:name="_Toc507057527"/>
      <w:r w:rsidRPr="009A741C">
        <w:t>Techni</w:t>
      </w:r>
      <w:r w:rsidR="00BC2DDC" w:rsidRPr="009A741C">
        <w:t>sche Unterlagen</w:t>
      </w:r>
      <w:bookmarkEnd w:id="15"/>
    </w:p>
    <w:p w:rsidR="001861D4" w:rsidRPr="00FF0C67" w:rsidRDefault="001861D4" w:rsidP="001861D4">
      <w:pPr>
        <w:widowControl w:val="0"/>
      </w:pPr>
      <w:r w:rsidRPr="00FF0C67">
        <w:t xml:space="preserve">Die einzuhaltenden Qualitätsmerkmale sind in den technischen Unterlagen, z. B. Zeichnungen, Werkstoffspezifikationen, Produktlieferrichtlinien, Lieferbedingungen, zur Bestellung mit geltenden Anweisungen, Verfahrensrichtlinien, Lasten- und Pflichtenheften des Kunden festgelegt. </w:t>
      </w:r>
    </w:p>
    <w:p w:rsidR="001861D4" w:rsidRPr="00FF0C67" w:rsidRDefault="001861D4" w:rsidP="001861D4">
      <w:pPr>
        <w:widowControl w:val="0"/>
      </w:pPr>
    </w:p>
    <w:p w:rsidR="00234441" w:rsidRPr="00FF0C67" w:rsidRDefault="001861D4" w:rsidP="00E50920">
      <w:pPr>
        <w:pStyle w:val="StandardBlock"/>
        <w:rPr>
          <w:lang w:val="de-DE"/>
        </w:rPr>
      </w:pPr>
      <w:r w:rsidRPr="00FF0C67">
        <w:rPr>
          <w:lang w:val="de-DE"/>
        </w:rPr>
        <w:t>Der Lieferant muss sicherstellen, dass er die auf der Bestellung festgelegte, aktuelle und gültige Fassung der technischen Unterlagen hat und nach diesen, ihm vorliegenden und vereinbarten Unterlagen fertigt und prüft.</w:t>
      </w:r>
    </w:p>
    <w:p w:rsidR="00695BE5" w:rsidRPr="009A741C" w:rsidRDefault="00234441" w:rsidP="000C154C">
      <w:pPr>
        <w:pStyle w:val="berschrift2"/>
        <w:tabs>
          <w:tab w:val="clear" w:pos="360"/>
          <w:tab w:val="num" w:pos="720"/>
        </w:tabs>
      </w:pPr>
      <w:bookmarkStart w:id="16" w:name="_Toc507057528"/>
      <w:r w:rsidRPr="009A741C">
        <w:t>Quali</w:t>
      </w:r>
      <w:r w:rsidR="00C604BB" w:rsidRPr="009A741C">
        <w:t>tätsvorausplanu</w:t>
      </w:r>
      <w:r w:rsidRPr="009A741C">
        <w:t>ng</w:t>
      </w:r>
      <w:bookmarkEnd w:id="16"/>
    </w:p>
    <w:p w:rsidR="00CF5B84" w:rsidRPr="009A741C" w:rsidRDefault="00CF5B84" w:rsidP="00CF5B84">
      <w:pPr>
        <w:widowControl w:val="0"/>
      </w:pPr>
      <w:r w:rsidRPr="009A741C">
        <w:t>Um ein Produkt, das den Qualitätsanforderungen des Kunden entspricht, zu entwickeln und herzustellen und einen problemlosen Produktionsstart zu gewährleisten, muss der Lieferant vor Beginn der Produktion sicherstellen, dass sämtliche Anforderungen verstanden, alle relevanten Prozesse definiert und fähig, jeweilige Wechselwirkungen festgelegt sowie die erforderlichen Ressourcen verfügbar sind. Der Lieferant muss auch sicherstellen, dass die gesetzten Zeit- und Kostenzielsetzungen erfüllt werden. Elementare Bestandteile der Qualitätsvorausplanung sind folgende:</w:t>
      </w:r>
    </w:p>
    <w:p w:rsidR="00296369" w:rsidRPr="00FF0C67" w:rsidRDefault="00C604BB" w:rsidP="009A46C5">
      <w:pPr>
        <w:pStyle w:val="berschrift3"/>
      </w:pPr>
      <w:bookmarkStart w:id="17" w:name="_Toc505949877"/>
      <w:bookmarkStart w:id="18" w:name="_Toc506465024"/>
      <w:bookmarkStart w:id="19" w:name="_Toc235248556"/>
      <w:bookmarkStart w:id="20" w:name="_Toc235248627"/>
      <w:bookmarkStart w:id="21" w:name="_Toc235249399"/>
      <w:bookmarkStart w:id="22" w:name="_Toc235250964"/>
      <w:bookmarkStart w:id="23" w:name="_Toc235251028"/>
      <w:bookmarkStart w:id="24" w:name="_Toc235334511"/>
      <w:bookmarkStart w:id="25" w:name="_Toc235337110"/>
      <w:bookmarkStart w:id="26" w:name="_Toc507057529"/>
      <w:bookmarkEnd w:id="17"/>
      <w:bookmarkEnd w:id="18"/>
      <w:bookmarkEnd w:id="19"/>
      <w:bookmarkEnd w:id="20"/>
      <w:bookmarkEnd w:id="21"/>
      <w:bookmarkEnd w:id="22"/>
      <w:bookmarkEnd w:id="23"/>
      <w:bookmarkEnd w:id="24"/>
      <w:bookmarkEnd w:id="25"/>
      <w:r w:rsidRPr="009A741C">
        <w:t>Beurteilung der Herstellbarkeit eines Produktes</w:t>
      </w:r>
      <w:bookmarkEnd w:id="26"/>
    </w:p>
    <w:p w:rsidR="00F14F78" w:rsidRPr="009A741C" w:rsidRDefault="00F14F78" w:rsidP="00F14F78">
      <w:pPr>
        <w:widowControl w:val="0"/>
      </w:pPr>
      <w:r w:rsidRPr="009A741C">
        <w:t xml:space="preserve">Vor der Auftragsbestätigung hat der Lieferant die Herstellbarkeit des vorgesehenen Produktes </w:t>
      </w:r>
      <w:r w:rsidRPr="009A741C">
        <w:lastRenderedPageBreak/>
        <w:t>unter Berücksichtigung der eigenen Produktionseinrichtungen zu bewerten. Die Herstellbarkeit ist dem Kunden schriftlich zu bescheinigen.</w:t>
      </w:r>
    </w:p>
    <w:p w:rsidR="006872F0" w:rsidRPr="009A741C" w:rsidRDefault="00C604BB" w:rsidP="009A46C5">
      <w:pPr>
        <w:pStyle w:val="berschrift3"/>
        <w:rPr>
          <w:lang w:val="en-GB"/>
        </w:rPr>
      </w:pPr>
      <w:bookmarkStart w:id="27" w:name="_Toc507057530"/>
      <w:r w:rsidRPr="009A741C">
        <w:t>Kennzeichnung und Rückverfolgbarkeit</w:t>
      </w:r>
      <w:bookmarkEnd w:id="27"/>
    </w:p>
    <w:p w:rsidR="007F5AF9" w:rsidRPr="009A741C" w:rsidRDefault="007F5AF9" w:rsidP="007F5AF9">
      <w:pPr>
        <w:widowControl w:val="0"/>
      </w:pPr>
      <w:r w:rsidRPr="009A741C">
        <w:t>Der Lieferant muss die in der Bestellung festgelegten Anforderungen an Produktkennzeichnung, Konfiguration und Rückverfolgbarkeit während des gesamten Herstellungsprozesses voll</w:t>
      </w:r>
      <w:r w:rsidRPr="00FF0C67">
        <w:t>ständig</w:t>
      </w:r>
      <w:r w:rsidRPr="009A741C">
        <w:t xml:space="preserve"> einhalten.</w:t>
      </w:r>
    </w:p>
    <w:p w:rsidR="0075123D" w:rsidRPr="009A741C" w:rsidRDefault="0075123D" w:rsidP="007F5AF9">
      <w:pPr>
        <w:widowControl w:val="0"/>
      </w:pPr>
    </w:p>
    <w:p w:rsidR="0075123D" w:rsidRPr="009A741C" w:rsidRDefault="0075123D" w:rsidP="007F5AF9">
      <w:pPr>
        <w:widowControl w:val="0"/>
      </w:pPr>
      <w:r w:rsidRPr="009A741C">
        <w:t>Im Reklamationsfall müssen fehlerhafte Produkte innerhalb der Lieferkette des Lieferanten und des Kunde</w:t>
      </w:r>
      <w:r w:rsidR="00003C12">
        <w:t>n</w:t>
      </w:r>
      <w:r w:rsidRPr="009A741C">
        <w:t xml:space="preserve"> sicher identifizierbar und auffindbar sein. Dafür ist im Vorfeld vom Lieferanten sowohl ein FIFO (First in – First out) als auch ein Rückverfolgbarkeitssystem einzuführen und aufrechtzuerhalten.</w:t>
      </w:r>
    </w:p>
    <w:p w:rsidR="00045A35" w:rsidRPr="009A741C" w:rsidRDefault="00045A35" w:rsidP="007F5AF9">
      <w:pPr>
        <w:widowControl w:val="0"/>
      </w:pPr>
    </w:p>
    <w:p w:rsidR="00045A35" w:rsidRPr="00FF0C67" w:rsidRDefault="00045A35" w:rsidP="00045A35">
      <w:pPr>
        <w:pStyle w:val="berschrift3"/>
      </w:pPr>
      <w:bookmarkStart w:id="28" w:name="_Toc507057531"/>
      <w:r w:rsidRPr="009A741C">
        <w:t>Vom Kunden beigestellte Produkte</w:t>
      </w:r>
      <w:bookmarkEnd w:id="28"/>
    </w:p>
    <w:p w:rsidR="00045A35" w:rsidRPr="009A741C" w:rsidRDefault="00045A35" w:rsidP="007F5AF9">
      <w:pPr>
        <w:widowControl w:val="0"/>
      </w:pPr>
      <w:r w:rsidRPr="009A741C">
        <w:t xml:space="preserve">Vom Kunden beigestellte Produkte sind in das QM-System des Lieferanten einzubeziehen. </w:t>
      </w:r>
      <w:r w:rsidR="00D24447" w:rsidRPr="009A741C">
        <w:t xml:space="preserve">Die vom Kunden beigestellten Produkte bleiben zu jeder Zeit vollständig im Eigentum des Kunden. </w:t>
      </w:r>
      <w:r w:rsidRPr="009A741C">
        <w:t xml:space="preserve">Die Eigentumsverhältnisse müssen jederzeit durch geeignete </w:t>
      </w:r>
      <w:r w:rsidR="0098549F" w:rsidRPr="009A741C">
        <w:t xml:space="preserve">Kennzeichnung sichergestellt sein. Beigestellte Produkte können u.a. auch sein: Werkzeuge, Prüfmittel, Behälter, Materialien oder Halbzeuge. </w:t>
      </w:r>
    </w:p>
    <w:p w:rsidR="006872F0" w:rsidRPr="00FF0C67" w:rsidRDefault="00C604BB" w:rsidP="009A46C5">
      <w:pPr>
        <w:pStyle w:val="berschrift3"/>
      </w:pPr>
      <w:bookmarkStart w:id="29" w:name="_Toc507057532"/>
      <w:r w:rsidRPr="009A741C">
        <w:t>Vom Kunden freigegebene Bezugsquellen für Spezialprozesse</w:t>
      </w:r>
      <w:bookmarkEnd w:id="29"/>
    </w:p>
    <w:p w:rsidR="00CE582A" w:rsidRPr="009A741C" w:rsidRDefault="00CE582A" w:rsidP="00CE582A">
      <w:pPr>
        <w:pStyle w:val="StandardBlock"/>
        <w:widowControl w:val="0"/>
        <w:spacing w:after="0"/>
        <w:jc w:val="left"/>
        <w:rPr>
          <w:lang w:val="de-DE"/>
        </w:rPr>
      </w:pPr>
      <w:r w:rsidRPr="009A741C">
        <w:rPr>
          <w:lang w:val="de-DE"/>
        </w:rPr>
        <w:t>Sofern in der Bestellung festgelegt, darf der Lieferant nur vom Kunden freigegebene Unterlieferanten für Spezialprozesse verwenden, die nach NADCAP akkreditiert sind. Diese Anforderung gilt für Lieferanten, die Spezialprozesse bei der Abwicklung ihrer internen Operationen durchführen, wie z. B. Wärmebehandlung, Beschichtung, zerstörungsfreie Prüfung etc. Der Lieferant muss diese Anforderung in Richtung seiner Unterlieferanten umsetzen.</w:t>
      </w:r>
    </w:p>
    <w:p w:rsidR="00A03CC7" w:rsidRPr="00FF0C67" w:rsidRDefault="00C51C75" w:rsidP="009A46C5">
      <w:pPr>
        <w:pStyle w:val="berschrift3"/>
      </w:pPr>
      <w:bookmarkStart w:id="30" w:name="_Toc505949884"/>
      <w:bookmarkStart w:id="31" w:name="_Toc506465031"/>
      <w:bookmarkStart w:id="32" w:name="_Toc505949885"/>
      <w:bookmarkStart w:id="33" w:name="_Toc506465032"/>
      <w:bookmarkStart w:id="34" w:name="_Toc507057533"/>
      <w:bookmarkEnd w:id="30"/>
      <w:bookmarkEnd w:id="31"/>
      <w:bookmarkEnd w:id="32"/>
      <w:bookmarkEnd w:id="33"/>
      <w:r w:rsidRPr="00FF0C67">
        <w:t>Analys</w:t>
      </w:r>
      <w:r w:rsidR="00EB17BB" w:rsidRPr="00FF0C67">
        <w:t>e der Fehl</w:t>
      </w:r>
      <w:r w:rsidR="00EB17BB" w:rsidRPr="009A741C">
        <w:t>er</w:t>
      </w:r>
      <w:r w:rsidR="00EB17BB" w:rsidRPr="00FF0C67">
        <w:t>möglichkeiten</w:t>
      </w:r>
      <w:bookmarkEnd w:id="34"/>
    </w:p>
    <w:p w:rsidR="000B6B98" w:rsidRPr="009A741C" w:rsidRDefault="00EB17BB" w:rsidP="00EB17BB">
      <w:pPr>
        <w:widowControl w:val="0"/>
      </w:pPr>
      <w:r w:rsidRPr="009A741C">
        <w:t>Um zu verhindern, dass bei der Serienproduktion oder beim Kunden Qualitätsprobleme auftreten, und um den erforderlichen Prüfaufwand auf ein Minimum zu beschränken, ist es erforderlich, eine Analyse potentieller Fehler und ihrer Folgen (FMEA = Fehlermöglichkeits- und Einflussanalyse) durchzuführen.</w:t>
      </w:r>
    </w:p>
    <w:p w:rsidR="00EB17BB" w:rsidRPr="009A741C" w:rsidRDefault="00EB17BB" w:rsidP="00EB17BB">
      <w:pPr>
        <w:widowControl w:val="0"/>
      </w:pPr>
      <w:r w:rsidRPr="009A741C">
        <w:t>Bei Veränderung am Produkt oder Prozess bzw. bei aufgetretenen Reklamationen ist das Dokument laufend zu aktualisieren.</w:t>
      </w:r>
    </w:p>
    <w:p w:rsidR="000962CF" w:rsidRPr="009A741C" w:rsidRDefault="00FC21D6" w:rsidP="000C154C">
      <w:pPr>
        <w:pStyle w:val="berschrift2"/>
        <w:tabs>
          <w:tab w:val="clear" w:pos="360"/>
          <w:tab w:val="num" w:pos="720"/>
        </w:tabs>
      </w:pPr>
      <w:bookmarkStart w:id="35" w:name="_Toc507057534"/>
      <w:r w:rsidRPr="009A741C">
        <w:t>Erstmusterprüfung nach</w:t>
      </w:r>
      <w:r w:rsidR="00BC2508" w:rsidRPr="009A741C">
        <w:t xml:space="preserve"> AS 9102</w:t>
      </w:r>
      <w:bookmarkEnd w:id="35"/>
    </w:p>
    <w:p w:rsidR="00FC21D6" w:rsidRPr="00461670" w:rsidRDefault="00FC21D6" w:rsidP="00BC2508">
      <w:pPr>
        <w:pStyle w:val="StandardBlock"/>
        <w:rPr>
          <w:lang w:val="de-DE"/>
        </w:rPr>
      </w:pPr>
      <w:r w:rsidRPr="00FF0C67">
        <w:rPr>
          <w:lang w:val="de-DE"/>
        </w:rPr>
        <w:t>Bei dem ersten Produktionslauf eines neuen Teils oder einer Montage</w:t>
      </w:r>
      <w:r w:rsidRPr="009A741C">
        <w:rPr>
          <w:lang w:val="de-DE"/>
        </w:rPr>
        <w:t xml:space="preserve"> muss der Lieferant eine Erstmusterprüfung (First Article Inspection. </w:t>
      </w:r>
      <w:r w:rsidRPr="00FF0C67">
        <w:rPr>
          <w:lang w:val="de-DE"/>
        </w:rPr>
        <w:t xml:space="preserve">FAI) </w:t>
      </w:r>
      <w:r w:rsidRPr="009A741C">
        <w:rPr>
          <w:lang w:val="de-DE"/>
        </w:rPr>
        <w:t>a</w:t>
      </w:r>
      <w:r w:rsidRPr="00FF0C67">
        <w:rPr>
          <w:lang w:val="de-DE"/>
        </w:rPr>
        <w:t xml:space="preserve">n einem </w:t>
      </w:r>
      <w:r w:rsidRPr="009A741C">
        <w:rPr>
          <w:lang w:val="de-DE"/>
        </w:rPr>
        <w:t>repräsentativen</w:t>
      </w:r>
      <w:r w:rsidRPr="00FF0C67">
        <w:rPr>
          <w:lang w:val="de-DE"/>
        </w:rPr>
        <w:t xml:space="preserve"> Teil durchführen, um sicherzu</w:t>
      </w:r>
      <w:r w:rsidRPr="009A741C">
        <w:rPr>
          <w:lang w:val="de-DE"/>
        </w:rPr>
        <w:t>stellen, dass Prozesse,</w:t>
      </w:r>
      <w:r w:rsidRPr="00461670">
        <w:rPr>
          <w:lang w:val="de-DE"/>
        </w:rPr>
        <w:t xml:space="preserve"> prozessbegleitende Dokumentation und Werkzeuge in der Lage sind, Produkte herzustellen, die die </w:t>
      </w:r>
      <w:r w:rsidR="00AE765E" w:rsidRPr="00461670">
        <w:rPr>
          <w:lang w:val="de-DE"/>
        </w:rPr>
        <w:t>A</w:t>
      </w:r>
      <w:r w:rsidRPr="00461670">
        <w:rPr>
          <w:lang w:val="de-DE"/>
        </w:rPr>
        <w:t>nforderungen</w:t>
      </w:r>
      <w:r w:rsidR="00AE765E" w:rsidRPr="00461670">
        <w:rPr>
          <w:lang w:val="de-DE"/>
        </w:rPr>
        <w:t xml:space="preserve"> von Zeichnung und Spezifikationen</w:t>
      </w:r>
      <w:r w:rsidRPr="00461670">
        <w:rPr>
          <w:lang w:val="de-DE"/>
        </w:rPr>
        <w:t xml:space="preserve"> erfüllen. </w:t>
      </w:r>
    </w:p>
    <w:p w:rsidR="00BC2508" w:rsidRPr="00461670" w:rsidRDefault="00FC21D6" w:rsidP="00E0210A">
      <w:pPr>
        <w:pStyle w:val="StandardBlock"/>
        <w:rPr>
          <w:lang w:val="de-DE"/>
        </w:rPr>
      </w:pPr>
      <w:r w:rsidRPr="00461670">
        <w:rPr>
          <w:lang w:val="de-DE"/>
        </w:rPr>
        <w:t>Die Bemusterung muss wiederholt werden, wenn Änderungen stattfinden, die Ergebnisse der Erstbemusterung beeinflussen und ungültig machen.</w:t>
      </w:r>
    </w:p>
    <w:p w:rsidR="00BC2508" w:rsidRPr="00461670" w:rsidRDefault="00FC21D6" w:rsidP="00E0210A">
      <w:pPr>
        <w:pStyle w:val="StandardBlock"/>
        <w:rPr>
          <w:lang w:val="de-DE"/>
        </w:rPr>
      </w:pPr>
      <w:r w:rsidRPr="00461670">
        <w:rPr>
          <w:lang w:val="de-DE"/>
        </w:rPr>
        <w:t>Ein Erstmusterbericht</w:t>
      </w:r>
      <w:r w:rsidR="00CE70B7" w:rsidRPr="00461670">
        <w:rPr>
          <w:szCs w:val="22"/>
          <w:lang w:val="de-DE"/>
        </w:rPr>
        <w:t xml:space="preserve"> (First Article Inspection Report, </w:t>
      </w:r>
      <w:r w:rsidR="00CE70B7" w:rsidRPr="00461670">
        <w:rPr>
          <w:lang w:val="de-DE"/>
        </w:rPr>
        <w:t xml:space="preserve">FAIR) </w:t>
      </w:r>
      <w:r w:rsidRPr="00461670">
        <w:rPr>
          <w:lang w:val="de-DE"/>
        </w:rPr>
        <w:t xml:space="preserve">kann als </w:t>
      </w:r>
      <w:r w:rsidR="00CE70B7" w:rsidRPr="00461670">
        <w:rPr>
          <w:u w:val="single"/>
          <w:lang w:val="de-DE"/>
        </w:rPr>
        <w:t>Komplett-</w:t>
      </w:r>
      <w:r w:rsidR="00CE70B7" w:rsidRPr="00461670">
        <w:rPr>
          <w:lang w:val="de-DE"/>
        </w:rPr>
        <w:t xml:space="preserve"> </w:t>
      </w:r>
      <w:r w:rsidR="00192680" w:rsidRPr="00461670">
        <w:rPr>
          <w:lang w:val="de-DE"/>
        </w:rPr>
        <w:t>o</w:t>
      </w:r>
      <w:r w:rsidR="00CE70B7" w:rsidRPr="00461670">
        <w:rPr>
          <w:lang w:val="de-DE"/>
        </w:rPr>
        <w:t xml:space="preserve">der </w:t>
      </w:r>
      <w:r w:rsidR="00CE70B7" w:rsidRPr="00461670">
        <w:rPr>
          <w:u w:val="single"/>
          <w:lang w:val="de-DE"/>
        </w:rPr>
        <w:t>Teilbericht</w:t>
      </w:r>
      <w:r w:rsidR="00BC2508" w:rsidRPr="00461670">
        <w:rPr>
          <w:lang w:val="de-DE"/>
        </w:rPr>
        <w:t xml:space="preserve"> </w:t>
      </w:r>
      <w:r w:rsidR="005F3DE0" w:rsidRPr="00461670">
        <w:rPr>
          <w:lang w:val="de-DE"/>
        </w:rPr>
        <w:t xml:space="preserve">(nach Rücksprache mit dem Kunden) </w:t>
      </w:r>
      <w:r w:rsidR="00CE70B7" w:rsidRPr="00461670">
        <w:rPr>
          <w:lang w:val="de-DE"/>
        </w:rPr>
        <w:t>erstellt werden</w:t>
      </w:r>
      <w:r w:rsidR="00BC2508" w:rsidRPr="00461670">
        <w:rPr>
          <w:lang w:val="de-DE"/>
        </w:rPr>
        <w:t xml:space="preserve">, </w:t>
      </w:r>
      <w:r w:rsidR="00CE70B7" w:rsidRPr="00461670">
        <w:rPr>
          <w:lang w:val="de-DE"/>
        </w:rPr>
        <w:t>bei</w:t>
      </w:r>
      <w:r w:rsidR="00BC2508" w:rsidRPr="00461670">
        <w:rPr>
          <w:lang w:val="de-DE"/>
        </w:rPr>
        <w:t>:</w:t>
      </w:r>
    </w:p>
    <w:p w:rsidR="00CE70B7" w:rsidRPr="009A741C" w:rsidRDefault="00F93871" w:rsidP="00CE70B7">
      <w:pPr>
        <w:pStyle w:val="AufzhlungmitPunkt"/>
        <w:rPr>
          <w:color w:val="auto"/>
        </w:rPr>
      </w:pPr>
      <w:r w:rsidRPr="009A741C">
        <w:rPr>
          <w:color w:val="auto"/>
        </w:rPr>
        <w:t>Herstellung n</w:t>
      </w:r>
      <w:r w:rsidR="00CE70B7" w:rsidRPr="009A741C">
        <w:rPr>
          <w:color w:val="auto"/>
        </w:rPr>
        <w:t>eue</w:t>
      </w:r>
      <w:r w:rsidRPr="009A741C">
        <w:rPr>
          <w:color w:val="auto"/>
        </w:rPr>
        <w:t>r</w:t>
      </w:r>
      <w:r w:rsidR="00CE70B7" w:rsidRPr="009A741C">
        <w:rPr>
          <w:color w:val="auto"/>
        </w:rPr>
        <w:t xml:space="preserve"> Teile</w:t>
      </w:r>
    </w:p>
    <w:p w:rsidR="00BC2508" w:rsidRPr="00FF0C67" w:rsidRDefault="00F93871" w:rsidP="00BC2508">
      <w:pPr>
        <w:pStyle w:val="AufzhlungmitPunkt"/>
        <w:rPr>
          <w:color w:val="auto"/>
          <w:lang w:val="de-DE"/>
        </w:rPr>
      </w:pPr>
      <w:r w:rsidRPr="009A741C">
        <w:rPr>
          <w:color w:val="auto"/>
          <w:lang w:val="de-DE"/>
        </w:rPr>
        <w:t>Konstruktionsänderung</w:t>
      </w:r>
      <w:r w:rsidRPr="00FF0C67">
        <w:rPr>
          <w:color w:val="auto"/>
          <w:lang w:val="de-DE"/>
        </w:rPr>
        <w:t xml:space="preserve">, die </w:t>
      </w:r>
      <w:r w:rsidR="00192680" w:rsidRPr="009A741C">
        <w:rPr>
          <w:color w:val="auto"/>
          <w:lang w:val="de-DE"/>
        </w:rPr>
        <w:t>Sitz</w:t>
      </w:r>
      <w:r w:rsidRPr="00FF0C67">
        <w:rPr>
          <w:color w:val="auto"/>
          <w:lang w:val="de-DE"/>
        </w:rPr>
        <w:t>, Form oder Funktion des Teils beeinflusse</w:t>
      </w:r>
      <w:r w:rsidRPr="009A741C">
        <w:rPr>
          <w:color w:val="auto"/>
          <w:lang w:val="de-DE"/>
        </w:rPr>
        <w:t>n</w:t>
      </w:r>
    </w:p>
    <w:p w:rsidR="00F93871" w:rsidRPr="00FF0C67" w:rsidRDefault="00F93871" w:rsidP="00F93871">
      <w:pPr>
        <w:pStyle w:val="AufzhlungmitPunkt"/>
        <w:rPr>
          <w:color w:val="auto"/>
          <w:lang w:val="de-DE"/>
        </w:rPr>
      </w:pPr>
      <w:r w:rsidRPr="00FF0C67">
        <w:rPr>
          <w:color w:val="auto"/>
          <w:lang w:val="de-DE"/>
        </w:rPr>
        <w:t>Neuen Lieferanten oder neuem Standort der Herstellung</w:t>
      </w:r>
      <w:r w:rsidRPr="009A741C">
        <w:rPr>
          <w:color w:val="auto"/>
          <w:lang w:val="de-DE"/>
        </w:rPr>
        <w:t xml:space="preserve"> oder Änderung im Material oder Prozess des Lieferanten</w:t>
      </w:r>
    </w:p>
    <w:p w:rsidR="00F93871" w:rsidRPr="00FF0C67" w:rsidRDefault="00F93871" w:rsidP="00F93871">
      <w:pPr>
        <w:pStyle w:val="AufzhlungmitPunkt"/>
        <w:rPr>
          <w:color w:val="auto"/>
          <w:lang w:val="de-DE"/>
        </w:rPr>
      </w:pPr>
      <w:r w:rsidRPr="009A741C">
        <w:rPr>
          <w:color w:val="auto"/>
          <w:lang w:val="de-DE"/>
        </w:rPr>
        <w:t xml:space="preserve">Aussetzen der Fertigung </w:t>
      </w:r>
      <w:r w:rsidRPr="00FF0C67">
        <w:rPr>
          <w:color w:val="auto"/>
          <w:lang w:val="de-DE"/>
        </w:rPr>
        <w:t>länger als 2</w:t>
      </w:r>
      <w:r w:rsidRPr="009A741C">
        <w:rPr>
          <w:color w:val="auto"/>
          <w:lang w:val="de-DE"/>
        </w:rPr>
        <w:t xml:space="preserve"> Jahre</w:t>
      </w:r>
    </w:p>
    <w:p w:rsidR="00F93871" w:rsidRPr="009A741C" w:rsidRDefault="00F93871" w:rsidP="00F93871">
      <w:pPr>
        <w:pStyle w:val="AufzhlungmitPunkt"/>
        <w:rPr>
          <w:color w:val="auto"/>
        </w:rPr>
      </w:pPr>
      <w:r w:rsidRPr="009A741C">
        <w:rPr>
          <w:color w:val="auto"/>
        </w:rPr>
        <w:lastRenderedPageBreak/>
        <w:t>Auf Kundenanforderung</w:t>
      </w:r>
    </w:p>
    <w:p w:rsidR="00F93871" w:rsidRPr="009A741C" w:rsidRDefault="00F93871" w:rsidP="00FF0C67">
      <w:pPr>
        <w:pStyle w:val="AufzhlungmitPunkt"/>
        <w:numPr>
          <w:ilvl w:val="0"/>
          <w:numId w:val="0"/>
        </w:numPr>
        <w:rPr>
          <w:color w:val="auto"/>
        </w:rPr>
      </w:pPr>
    </w:p>
    <w:p w:rsidR="00192680" w:rsidRPr="009A741C" w:rsidRDefault="00192680" w:rsidP="00192680">
      <w:r w:rsidRPr="009A741C">
        <w:rPr>
          <w:szCs w:val="22"/>
        </w:rPr>
        <w:t>Erstmusterberichte sind unter Verwendung der AS 9102 zu erstellen</w:t>
      </w:r>
      <w:r w:rsidR="00944287" w:rsidRPr="009A741C">
        <w:rPr>
          <w:szCs w:val="22"/>
        </w:rPr>
        <w:t>.</w:t>
      </w:r>
      <w:r w:rsidRPr="009A741C">
        <w:rPr>
          <w:szCs w:val="22"/>
        </w:rPr>
        <w:t xml:space="preserve"> </w:t>
      </w:r>
      <w:r w:rsidRPr="009A741C">
        <w:t>Die Durchführung eines Erstmusterberichtes entlastet den L</w:t>
      </w:r>
      <w:r w:rsidRPr="00461670">
        <w:t xml:space="preserve">ieferanten in keiner Weise von seinen Verpflichtungen und seiner Verantwortung gegenüber seinen Produkten bzw. </w:t>
      </w:r>
      <w:r w:rsidR="00057BA1" w:rsidRPr="00461670">
        <w:t>Dienstl</w:t>
      </w:r>
      <w:r w:rsidRPr="00461670">
        <w:t>eistungen.</w:t>
      </w:r>
    </w:p>
    <w:p w:rsidR="00695BE5" w:rsidRPr="009A741C" w:rsidRDefault="00603BB0" w:rsidP="000C154C">
      <w:pPr>
        <w:pStyle w:val="berschrift2"/>
        <w:tabs>
          <w:tab w:val="clear" w:pos="360"/>
          <w:tab w:val="num" w:pos="720"/>
        </w:tabs>
      </w:pPr>
      <w:bookmarkStart w:id="36" w:name="_Toc505949890"/>
      <w:bookmarkStart w:id="37" w:name="_Toc506465037"/>
      <w:bookmarkStart w:id="38" w:name="_Toc66761070"/>
      <w:bookmarkStart w:id="39" w:name="_Toc197165351"/>
      <w:bookmarkStart w:id="40" w:name="_Toc507057535"/>
      <w:bookmarkEnd w:id="36"/>
      <w:bookmarkEnd w:id="37"/>
      <w:r w:rsidRPr="009A741C">
        <w:t>Statis</w:t>
      </w:r>
      <w:bookmarkEnd w:id="38"/>
      <w:bookmarkEnd w:id="39"/>
      <w:r w:rsidR="00397B86" w:rsidRPr="009A741C">
        <w:t>tische Prozessregelung und Serienprüfung</w:t>
      </w:r>
      <w:bookmarkEnd w:id="40"/>
      <w:r w:rsidR="002D617E" w:rsidRPr="009A741C">
        <w:t xml:space="preserve"> </w:t>
      </w:r>
    </w:p>
    <w:p w:rsidR="00397B86" w:rsidRPr="009A741C" w:rsidRDefault="00397B86" w:rsidP="00397B86">
      <w:pPr>
        <w:widowControl w:val="0"/>
      </w:pPr>
      <w:r w:rsidRPr="009A741C">
        <w:t>Eine gleichbleibende Qualitätsleistung kann nur durch einen stabilen, statistisch fähigen Prozess erreicht werden. Deshalb hat der Lieferant geeignete Lenkungsmethoden wie z. B. serienbegleitende Aufzeichnungen einzusetzen. Dabei sind auch Prozessparameter, die Produktmerkmale z. B. bei der Wärmebehandlung, bei Schweiß- und Lötprozessen oder Kunststoffspritzen beeinflussen können, entsprechend zu dokumentieren. Aus den Aufzeichnungen müssen Prozessunterbrechungen, wie z. B. Werkzeugbruch, und qualitätsregelnde Maßnahmen eindeutig nachvollziehbar sein.</w:t>
      </w:r>
    </w:p>
    <w:p w:rsidR="00397B86" w:rsidRPr="009A741C" w:rsidRDefault="00397B86" w:rsidP="00397B86">
      <w:pPr>
        <w:widowControl w:val="0"/>
      </w:pPr>
    </w:p>
    <w:p w:rsidR="00397B86" w:rsidRPr="009A741C" w:rsidRDefault="00397B86" w:rsidP="00397B86">
      <w:pPr>
        <w:widowControl w:val="0"/>
      </w:pPr>
      <w:r w:rsidRPr="009A741C">
        <w:t>Der Lieferant ist verpflichtet, regelmäßig Stichproben zu entnehmen und die Ergebnisse zu dokumentieren. Für die Freigabe eines Loses darf kein fehlerhaftes Produkt in der Stichprobe gefunden werden („Null-Fehler“-Prinzip).</w:t>
      </w:r>
    </w:p>
    <w:p w:rsidR="00397B86" w:rsidRPr="009A741C" w:rsidRDefault="00397B86" w:rsidP="00397B86">
      <w:pPr>
        <w:widowControl w:val="0"/>
      </w:pPr>
    </w:p>
    <w:p w:rsidR="00397B86" w:rsidRPr="009A741C" w:rsidRDefault="00397B86" w:rsidP="00397B86">
      <w:pPr>
        <w:widowControl w:val="0"/>
      </w:pPr>
      <w:r w:rsidRPr="009A741C">
        <w:t>Zur Überwachung der Prozesse und somit der Produktmerkmale z. B. gemäß Produktzeichnung oder Spezifikation sind durch den Lieferanten geeignete Methoden z. B. statistische Verfahren bzw. statistische Prozessregelungen</w:t>
      </w:r>
      <w:r w:rsidR="00DC2BF8" w:rsidRPr="009A741C">
        <w:t>, AIAG SPC, VDA oder DGQ</w:t>
      </w:r>
      <w:r w:rsidRPr="009A741C">
        <w:t xml:space="preserve"> anzuwenden. Die entsprechenden Fähigkeitswerte der vereinbarten Merkmale sind dem Kunden auf Anforderung innerhalb eines Arbeitstages zur Verfügung zu stellen.</w:t>
      </w:r>
    </w:p>
    <w:p w:rsidR="00397B86" w:rsidRPr="009A741C" w:rsidRDefault="00397B86" w:rsidP="00397B86">
      <w:pPr>
        <w:widowControl w:val="0"/>
      </w:pPr>
    </w:p>
    <w:p w:rsidR="00397B86" w:rsidRPr="009A741C" w:rsidRDefault="00397B86" w:rsidP="00397B86">
      <w:pPr>
        <w:widowControl w:val="0"/>
      </w:pPr>
      <w:r w:rsidRPr="009A741C">
        <w:t xml:space="preserve">Ein fähiger Prozess liegt vor, wenn eine Langzeitprozessfähigkeitsuntersuchung einen Fähigkeitsfaktor Cpk </w:t>
      </w:r>
      <w:r w:rsidRPr="009A741C">
        <w:rPr>
          <w:rFonts w:cs="Arial"/>
        </w:rPr>
        <w:t>≥</w:t>
      </w:r>
      <w:r w:rsidRPr="009A741C">
        <w:t xml:space="preserve"> 1,33 ergibt. Bei einem nicht fähigen Prozess (Cpk &lt; 1,33) ist der Lieferant verpflichtet, unverzüglich geeignete Korrekturmaßnahmen einzuleiten. Bis zum Wiedererreichen der Prozessfähigkeit hat er eine 100 %-Prüfung durchzuführen. Die erreichte Prozessfähigkeit ist nachzuweisen.</w:t>
      </w:r>
    </w:p>
    <w:p w:rsidR="00397B86" w:rsidRPr="009A741C" w:rsidRDefault="00397B86" w:rsidP="00397B86">
      <w:pPr>
        <w:widowControl w:val="0"/>
      </w:pPr>
    </w:p>
    <w:p w:rsidR="00397B86" w:rsidRPr="009A741C" w:rsidRDefault="00397B86" w:rsidP="00FF0C67">
      <w:pPr>
        <w:widowControl w:val="0"/>
      </w:pPr>
      <w:r w:rsidRPr="009A741C">
        <w:t>Unter wirtschaftlichen Gesichtspunkten und mit dem Ziel der Fehlerminimierung erwartet der Kunde vom Lieferanten eine kontinuierliche Verbesserung der Prozesse.</w:t>
      </w:r>
    </w:p>
    <w:p w:rsidR="007F4C58" w:rsidRPr="009A741C" w:rsidRDefault="006C6F62" w:rsidP="007F4C58">
      <w:pPr>
        <w:pStyle w:val="berschrift2"/>
        <w:tabs>
          <w:tab w:val="clear" w:pos="360"/>
          <w:tab w:val="num" w:pos="851"/>
        </w:tabs>
        <w:spacing w:after="0"/>
      </w:pPr>
      <w:bookmarkStart w:id="41" w:name="_Toc505949892"/>
      <w:bookmarkStart w:id="42" w:name="_Toc506465039"/>
      <w:bookmarkStart w:id="43" w:name="_Toc505949894"/>
      <w:bookmarkStart w:id="44" w:name="_Toc506465041"/>
      <w:bookmarkStart w:id="45" w:name="_Toc505949895"/>
      <w:bookmarkStart w:id="46" w:name="_Toc506465042"/>
      <w:bookmarkStart w:id="47" w:name="_Toc505949896"/>
      <w:bookmarkStart w:id="48" w:name="_Toc506465043"/>
      <w:bookmarkStart w:id="49" w:name="_Toc507057536"/>
      <w:bookmarkEnd w:id="41"/>
      <w:bookmarkEnd w:id="42"/>
      <w:bookmarkEnd w:id="43"/>
      <w:bookmarkEnd w:id="44"/>
      <w:bookmarkEnd w:id="45"/>
      <w:bookmarkEnd w:id="46"/>
      <w:bookmarkEnd w:id="47"/>
      <w:bookmarkEnd w:id="48"/>
      <w:r w:rsidRPr="009A741C">
        <w:t>Lenkung fehlerhafter Produkte</w:t>
      </w:r>
      <w:bookmarkEnd w:id="49"/>
    </w:p>
    <w:p w:rsidR="00F51531" w:rsidRPr="009A741C" w:rsidRDefault="00F51531" w:rsidP="00F51531">
      <w:pPr>
        <w:widowControl w:val="0"/>
      </w:pPr>
      <w:r w:rsidRPr="009A741C">
        <w:t>Der Lieferant muss sicherstellen, dass ein Produkt, das die Produktanforderungen nicht erfüllt, gekennzeichnet und gelenkt wird, um seinen unbeabsichtigten Gebrauch oder seine Auslieferung zu verhindern. Produkte, die zur Verschrottung vorgemerkt sind, müssen deutlich und dauerhaft gekennzeichnet oder eindeutig gelenkt werden, bis sie unbrauchbar gemacht werden.</w:t>
      </w:r>
    </w:p>
    <w:p w:rsidR="00695BE5" w:rsidRPr="009A741C" w:rsidRDefault="00051CD5" w:rsidP="009A46C5">
      <w:pPr>
        <w:pStyle w:val="berschrift3"/>
      </w:pPr>
      <w:bookmarkStart w:id="50" w:name="_Toc235248564"/>
      <w:bookmarkStart w:id="51" w:name="_Toc235248635"/>
      <w:bookmarkStart w:id="52" w:name="_Toc235249407"/>
      <w:bookmarkStart w:id="53" w:name="_Toc235250972"/>
      <w:bookmarkStart w:id="54" w:name="_Toc235251036"/>
      <w:bookmarkStart w:id="55" w:name="_Toc235334519"/>
      <w:bookmarkStart w:id="56" w:name="_Toc235337118"/>
      <w:bookmarkStart w:id="57" w:name="_Toc507057537"/>
      <w:bookmarkEnd w:id="50"/>
      <w:bookmarkEnd w:id="51"/>
      <w:bookmarkEnd w:id="52"/>
      <w:bookmarkEnd w:id="53"/>
      <w:bookmarkEnd w:id="54"/>
      <w:bookmarkEnd w:id="55"/>
      <w:bookmarkEnd w:id="56"/>
      <w:r w:rsidRPr="009A741C">
        <w:t>Entdecken vo</w:t>
      </w:r>
      <w:r w:rsidR="0004155F" w:rsidRPr="009A741C">
        <w:t>n</w:t>
      </w:r>
      <w:r w:rsidRPr="009A741C">
        <w:t xml:space="preserve"> Fehlern beim Lieferanten</w:t>
      </w:r>
      <w:bookmarkEnd w:id="57"/>
    </w:p>
    <w:p w:rsidR="00051CD5" w:rsidRPr="009A741C" w:rsidRDefault="00051CD5" w:rsidP="00051CD5">
      <w:pPr>
        <w:widowControl w:val="0"/>
      </w:pPr>
      <w:r w:rsidRPr="009A741C">
        <w:t>Wird beim Lieferanten während des Herstellprozesses ein Fehler am Produkt oder an der zu erbringenden Leistung festgestellt, so hat der Lieferant den Prozess sofort zu unterbrechen und zu korrigieren. In diesem Fall sind alle Produkte, die seit der zuletzt mit positivem Befund durchgeführten Stichprobenprüfung (letztes Gutteil) gefertigt wurden, 100 % zu prüfen. Fehlerhafte Produkte sind unverzüglich sicherzustellen und bis zur endgültigen Klärung der Fehlerursache an einem sicheren Ort („Sperrlager“) aufzubewahren. Eingeleitete Korrekturmaßnahmen sind in den Aufzeichnungen nachvollziehbar zu dokumentieren.</w:t>
      </w:r>
    </w:p>
    <w:p w:rsidR="00051CD5" w:rsidRPr="009A741C" w:rsidRDefault="00051CD5" w:rsidP="00051CD5">
      <w:pPr>
        <w:widowControl w:val="0"/>
      </w:pPr>
    </w:p>
    <w:p w:rsidR="00051CD5" w:rsidRPr="009A741C" w:rsidRDefault="00051CD5" w:rsidP="00051CD5">
      <w:pPr>
        <w:widowControl w:val="0"/>
      </w:pPr>
      <w:r w:rsidRPr="009A741C">
        <w:t>Sollte eine Nachprüfung ergeben, dass die fehlerhaften Produkte nicht nachgearbeitet werden können, so sind sie entsprechend zu verschrotten</w:t>
      </w:r>
      <w:r w:rsidR="007635A2" w:rsidRPr="009A741C">
        <w:t>. Soweit der Kunde Produkte beigestellt hat sind die fehlerhaften Produkte zu kennzeichnen und an den Kunden zurückzuschicken</w:t>
      </w:r>
      <w:r w:rsidRPr="009A741C">
        <w:t>. Im Fall von Nacharbeit sind alle festgelegten Serienprüfungen durchzuführen.</w:t>
      </w:r>
    </w:p>
    <w:p w:rsidR="008021C5" w:rsidRPr="009A741C" w:rsidRDefault="00A219F8" w:rsidP="009A46C5">
      <w:pPr>
        <w:pStyle w:val="berschrift3"/>
        <w:rPr>
          <w:lang w:val="en-GB"/>
        </w:rPr>
      </w:pPr>
      <w:bookmarkStart w:id="58" w:name="_Toc507057538"/>
      <w:r w:rsidRPr="009A741C">
        <w:lastRenderedPageBreak/>
        <w:t>Obligatorische Meldung von fehlerverdächtigen Produkten</w:t>
      </w:r>
      <w:bookmarkEnd w:id="58"/>
    </w:p>
    <w:p w:rsidR="00A219F8" w:rsidRPr="009A741C" w:rsidRDefault="00A219F8" w:rsidP="00A219F8">
      <w:pPr>
        <w:widowControl w:val="0"/>
      </w:pPr>
      <w:r w:rsidRPr="009A741C">
        <w:t xml:space="preserve">Wird bei der Eingrenzung der Fehlermenge festgestellt, dass bereits fehlerhafte Produkte an den Kunden geliefert worden sein können, so sind sofort die zuständigen Qualitätssicherungsstellen in den Abnahmewerken des Kunden </w:t>
      </w:r>
      <w:r w:rsidR="002330E1" w:rsidRPr="009A741C">
        <w:t xml:space="preserve">schriftlich </w:t>
      </w:r>
      <w:r w:rsidRPr="009A741C">
        <w:t>zu verständigen und die weitere Vorgehensweise zu klären. Der Lieferant muss den Kunden dabei unterstützen, alle fehlerverdächtigen Produkte entsprechend den aufsichtsrechtlichen Vorgaben zu bestimmen und zu verfolgen.</w:t>
      </w:r>
    </w:p>
    <w:p w:rsidR="00295C62" w:rsidRPr="009A741C" w:rsidRDefault="006D34A1" w:rsidP="00E73A3F">
      <w:pPr>
        <w:pStyle w:val="berschrift2"/>
      </w:pPr>
      <w:bookmarkStart w:id="59" w:name="_Toc505949903"/>
      <w:bookmarkStart w:id="60" w:name="_Toc506465050"/>
      <w:bookmarkStart w:id="61" w:name="_Toc505949904"/>
      <w:bookmarkStart w:id="62" w:name="_Toc506465051"/>
      <w:bookmarkStart w:id="63" w:name="_Toc507057539"/>
      <w:bookmarkEnd w:id="59"/>
      <w:bookmarkEnd w:id="60"/>
      <w:bookmarkEnd w:id="61"/>
      <w:bookmarkEnd w:id="62"/>
      <w:r w:rsidRPr="009A741C">
        <w:rPr>
          <w:lang w:val="de-DE"/>
        </w:rPr>
        <w:t>Antrag auf Sonderfreigabe</w:t>
      </w:r>
      <w:bookmarkEnd w:id="63"/>
    </w:p>
    <w:p w:rsidR="0082702E" w:rsidRPr="00FF0C67" w:rsidRDefault="00BD3B01" w:rsidP="0082702E">
      <w:pPr>
        <w:widowControl w:val="0"/>
      </w:pPr>
      <w:r w:rsidRPr="009A741C">
        <w:t xml:space="preserve">Soweit keine Sonderfreigabe durch den Kunden erfolgt, ist der Lieferant nicht berechtigt eigene Entscheidungen über das Produkt oder die zu erbringende Leistungen zu treffen. Eine Nachbesserung oder Vorlage von Produkten als </w:t>
      </w:r>
      <w:r w:rsidRPr="009A741C">
        <w:rPr>
          <w:i/>
        </w:rPr>
        <w:t>„use as is“</w:t>
      </w:r>
      <w:r w:rsidRPr="009A741C">
        <w:t xml:space="preserve"> ist in jedem Fall ausgeschlossen</w:t>
      </w:r>
      <w:r w:rsidR="0082702E" w:rsidRPr="00FF0C67">
        <w:t>.</w:t>
      </w:r>
    </w:p>
    <w:p w:rsidR="0082702E" w:rsidRPr="00FF0C67" w:rsidRDefault="0082702E" w:rsidP="0082702E">
      <w:pPr>
        <w:widowControl w:val="0"/>
      </w:pPr>
    </w:p>
    <w:p w:rsidR="0082702E" w:rsidRPr="009A741C" w:rsidRDefault="0082702E" w:rsidP="0082702E">
      <w:pPr>
        <w:widowControl w:val="0"/>
      </w:pPr>
      <w:r w:rsidRPr="00FF0C67">
        <w:t>Der Lieferant darf Produkte oder Leistungen nacharbeiten, gemäß einem vom Kunden freigegebenen Prozess, damit sie vorschrifts- bzw. zeichnungskonform sind; allerdings muss der Lieferant den Kunden von der ordnungsgemäßen Durchführung der Nachbesserung überzeugen und sicherstellen, dass sich die durchgeführte Nachbesserung nicht nachteilig auf die Vertragsprodukte auswirkt.</w:t>
      </w:r>
    </w:p>
    <w:p w:rsidR="009A46C5" w:rsidRPr="009A741C" w:rsidRDefault="00FD5AE3" w:rsidP="009A46C5">
      <w:pPr>
        <w:pStyle w:val="berschrift3"/>
        <w:rPr>
          <w:lang w:val="en-GB"/>
        </w:rPr>
      </w:pPr>
      <w:bookmarkStart w:id="64" w:name="_Toc235248568"/>
      <w:bookmarkStart w:id="65" w:name="_Toc235248639"/>
      <w:bookmarkStart w:id="66" w:name="_Toc235249411"/>
      <w:bookmarkStart w:id="67" w:name="_Toc235250976"/>
      <w:bookmarkStart w:id="68" w:name="_Toc235251040"/>
      <w:bookmarkStart w:id="69" w:name="_Toc235248570"/>
      <w:bookmarkStart w:id="70" w:name="_Toc235248641"/>
      <w:bookmarkStart w:id="71" w:name="_Toc235249413"/>
      <w:bookmarkStart w:id="72" w:name="_Toc235250978"/>
      <w:bookmarkStart w:id="73" w:name="_Toc235251042"/>
      <w:bookmarkStart w:id="74" w:name="_Toc213213493"/>
      <w:bookmarkStart w:id="75" w:name="_Toc507057540"/>
      <w:bookmarkEnd w:id="64"/>
      <w:bookmarkEnd w:id="65"/>
      <w:bookmarkEnd w:id="66"/>
      <w:bookmarkEnd w:id="67"/>
      <w:bookmarkEnd w:id="68"/>
      <w:bookmarkEnd w:id="69"/>
      <w:bookmarkEnd w:id="70"/>
      <w:bookmarkEnd w:id="71"/>
      <w:bookmarkEnd w:id="72"/>
      <w:bookmarkEnd w:id="73"/>
      <w:bookmarkEnd w:id="74"/>
      <w:r w:rsidRPr="009A741C">
        <w:t>Antrag auf Abweichgenehmigung / Sonderfreigabe</w:t>
      </w:r>
      <w:bookmarkEnd w:id="75"/>
    </w:p>
    <w:p w:rsidR="008A5140" w:rsidRPr="00FF0C67" w:rsidRDefault="008A5140" w:rsidP="008A5140">
      <w:r w:rsidRPr="00FF0C67">
        <w:t>Im Fall von Abweichungen von der Produkt- bzw. Leistungsspezifikation (Zeichnung, technische Lieferbedingung, Werkstoff, Materialeigenschaften usw.) oder vom freigegebenen Prozess hat der Lieferant vor Auslieferung der Produkte eine Sonderfreigabe des Kunden zu beantragen.</w:t>
      </w:r>
    </w:p>
    <w:p w:rsidR="008A5140" w:rsidRPr="009A741C" w:rsidRDefault="008A5140" w:rsidP="008A5140">
      <w:pPr>
        <w:widowControl w:val="0"/>
      </w:pPr>
    </w:p>
    <w:p w:rsidR="008A5140" w:rsidRPr="009A741C" w:rsidRDefault="008A5140" w:rsidP="008A5140">
      <w:pPr>
        <w:widowControl w:val="0"/>
      </w:pPr>
      <w:r w:rsidRPr="009A741C">
        <w:t xml:space="preserve">Hierzu ist die schriftliche Zustimmung des Kunden über den auf der Bestellung angegebenen Ansprechpartner unter Verwendung des kundenspezifischen Antragsformulars einzuholen (siehe Anlage </w:t>
      </w:r>
      <w:r w:rsidR="00953917" w:rsidRPr="009A741C">
        <w:t>1</w:t>
      </w:r>
      <w:r w:rsidRPr="009A741C">
        <w:t>, QSV / S 296001</w:t>
      </w:r>
      <w:r w:rsidR="00953917" w:rsidRPr="009A741C">
        <w:t xml:space="preserve"> Teil </w:t>
      </w:r>
      <w:r w:rsidRPr="00FF0C67">
        <w:t>3</w:t>
      </w:r>
      <w:r w:rsidRPr="009A741C">
        <w:t xml:space="preserve"> – </w:t>
      </w:r>
      <w:r w:rsidRPr="009A741C">
        <w:rPr>
          <w:i/>
        </w:rPr>
        <w:t>Änderungsgenehmigung / Sonderfreigabe</w:t>
      </w:r>
      <w:r w:rsidRPr="009A741C">
        <w:t xml:space="preserve">). </w:t>
      </w:r>
    </w:p>
    <w:p w:rsidR="00C96AEF" w:rsidRPr="009A741C" w:rsidRDefault="00C96AEF" w:rsidP="00C96AEF">
      <w:pPr>
        <w:pStyle w:val="berschrift3"/>
        <w:rPr>
          <w:lang w:val="en-GB"/>
        </w:rPr>
      </w:pPr>
      <w:bookmarkStart w:id="76" w:name="_Toc507057541"/>
      <w:r w:rsidRPr="009A741C">
        <w:t xml:space="preserve">Antrag auf </w:t>
      </w:r>
      <w:r>
        <w:t>Änderungs</w:t>
      </w:r>
      <w:r w:rsidRPr="009A741C">
        <w:t>genehmigung</w:t>
      </w:r>
      <w:bookmarkEnd w:id="76"/>
    </w:p>
    <w:p w:rsidR="00C96AEF" w:rsidRPr="009A741C" w:rsidRDefault="00C96AEF" w:rsidP="00C96AEF">
      <w:pPr>
        <w:widowControl w:val="0"/>
      </w:pPr>
      <w:r w:rsidRPr="009A741C">
        <w:t xml:space="preserve">Der Lieferant hat den Kunden über geplante Änderungen am Produkt, Prozess, Material oder Herstellort (Maschine oder Ort) vor deren Durchführung zu informieren. Hierzu ist die schriftliche Zustimmung des Kunden über den auf der Bestellung angegebenen Ansprechpartner unter Verwendung des kundenspezifischen Antragsformulars einzuholen (siehe Anlage 1, QSV / S296001 Teil </w:t>
      </w:r>
      <w:r w:rsidRPr="00FF0C67">
        <w:t>3</w:t>
      </w:r>
      <w:r w:rsidRPr="009A741C">
        <w:t xml:space="preserve"> – </w:t>
      </w:r>
      <w:r w:rsidRPr="009A741C">
        <w:rPr>
          <w:i/>
        </w:rPr>
        <w:t>Änderungsgenehmigung / Sonderfreigabe</w:t>
      </w:r>
      <w:r w:rsidRPr="009A741C">
        <w:t>).</w:t>
      </w:r>
    </w:p>
    <w:p w:rsidR="00C96AEF" w:rsidRPr="009A741C" w:rsidRDefault="00C96AEF" w:rsidP="00C96AEF">
      <w:pPr>
        <w:widowControl w:val="0"/>
      </w:pPr>
    </w:p>
    <w:p w:rsidR="00C96AEF" w:rsidRPr="009A741C" w:rsidRDefault="00C96AEF" w:rsidP="00C96AEF">
      <w:pPr>
        <w:widowControl w:val="0"/>
      </w:pPr>
      <w:r w:rsidRPr="009A741C">
        <w:t>Erst nach Prüfung und Freigabe durch den Kunden darf der Lieferant die Änderungen einführen. Nach Einführung der Änderung wird eine schriftliche Bewertung vom Lieferanten durchgeführt, um zu bestätigen, dass die erreichten Ergebnisse den erwünschten Zweck ohne Beeinträchtigung der Produktkonformität erfüllt haben.</w:t>
      </w:r>
    </w:p>
    <w:p w:rsidR="002D234D" w:rsidRPr="009A741C" w:rsidRDefault="00E81BA2" w:rsidP="00E73A3F">
      <w:pPr>
        <w:pStyle w:val="berschrift2"/>
        <w:tabs>
          <w:tab w:val="clear" w:pos="360"/>
          <w:tab w:val="num" w:pos="720"/>
        </w:tabs>
      </w:pPr>
      <w:bookmarkStart w:id="77" w:name="_Toc505949909"/>
      <w:bookmarkStart w:id="78" w:name="_Toc506465056"/>
      <w:bookmarkStart w:id="79" w:name="_Toc505949910"/>
      <w:bookmarkStart w:id="80" w:name="_Toc506465057"/>
      <w:bookmarkStart w:id="81" w:name="_Toc235248572"/>
      <w:bookmarkStart w:id="82" w:name="_Toc235248643"/>
      <w:bookmarkStart w:id="83" w:name="_Toc235249415"/>
      <w:bookmarkStart w:id="84" w:name="_Toc235250980"/>
      <w:bookmarkStart w:id="85" w:name="_Toc235251044"/>
      <w:bookmarkStart w:id="86" w:name="_Toc235334524"/>
      <w:bookmarkStart w:id="87" w:name="_Toc235337122"/>
      <w:bookmarkStart w:id="88" w:name="_Toc235248573"/>
      <w:bookmarkStart w:id="89" w:name="_Toc235248644"/>
      <w:bookmarkStart w:id="90" w:name="_Toc235249416"/>
      <w:bookmarkStart w:id="91" w:name="_Toc235250981"/>
      <w:bookmarkStart w:id="92" w:name="_Toc235251045"/>
      <w:bookmarkStart w:id="93" w:name="_Toc235334525"/>
      <w:bookmarkStart w:id="94" w:name="_Toc235337123"/>
      <w:bookmarkStart w:id="95" w:name="_Toc235248575"/>
      <w:bookmarkStart w:id="96" w:name="_Toc235248646"/>
      <w:bookmarkStart w:id="97" w:name="_Toc235249418"/>
      <w:bookmarkStart w:id="98" w:name="_Toc235250983"/>
      <w:bookmarkStart w:id="99" w:name="_Toc235251047"/>
      <w:bookmarkStart w:id="100" w:name="_Toc235334527"/>
      <w:bookmarkStart w:id="101" w:name="_Toc235337125"/>
      <w:bookmarkStart w:id="102" w:name="_Toc50705754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9A741C">
        <w:rPr>
          <w:lang w:val="de-DE"/>
        </w:rPr>
        <w:t>Entdecken vom Fehlern beim Kunden</w:t>
      </w:r>
      <w:bookmarkEnd w:id="102"/>
    </w:p>
    <w:p w:rsidR="00632E15" w:rsidRPr="009A741C" w:rsidRDefault="00632E15" w:rsidP="00632E15">
      <w:pPr>
        <w:widowControl w:val="0"/>
      </w:pPr>
      <w:r w:rsidRPr="009A741C">
        <w:t>Werden fehlerhafte Produkte erst beim Kunden entdeckt, ist der Lieferant verpflichtet, umgehend geeignete Maßnahmen zur Fehlereingrenzung einzuleiten.</w:t>
      </w:r>
    </w:p>
    <w:p w:rsidR="00632E15" w:rsidRPr="009A741C" w:rsidRDefault="00632E15" w:rsidP="00632E15">
      <w:pPr>
        <w:widowControl w:val="0"/>
      </w:pPr>
    </w:p>
    <w:p w:rsidR="00632E15" w:rsidRPr="009A741C" w:rsidRDefault="00632E15" w:rsidP="00632E15">
      <w:pPr>
        <w:widowControl w:val="0"/>
      </w:pPr>
      <w:r w:rsidRPr="009A741C">
        <w:t>Der Kunde teilt dem Lieferanten eine Beanstandung schriftlich oder in Textform, z. B. in Form eines Prüfberichtes, mit. Die anschließende Reklamationsanalyse und Erarbeitung wirksamer Abstellmaßnahmen ist nach Anlage 2, QSV / S 296001</w:t>
      </w:r>
      <w:r w:rsidR="00953917" w:rsidRPr="009A741C">
        <w:t xml:space="preserve"> Teil </w:t>
      </w:r>
      <w:r w:rsidRPr="00FF0C67">
        <w:t>4</w:t>
      </w:r>
      <w:r w:rsidRPr="009A741C">
        <w:t xml:space="preserve"> – Reklamationsbearbeitung durchzuführen.</w:t>
      </w:r>
    </w:p>
    <w:p w:rsidR="00632E15" w:rsidRPr="009A741C" w:rsidRDefault="00632E15" w:rsidP="00632E15">
      <w:pPr>
        <w:widowControl w:val="0"/>
      </w:pPr>
    </w:p>
    <w:p w:rsidR="00632E15" w:rsidRPr="009A741C" w:rsidRDefault="00632E15" w:rsidP="00632E15">
      <w:pPr>
        <w:widowControl w:val="0"/>
      </w:pPr>
      <w:r w:rsidRPr="009A741C">
        <w:t>Beanstandungen gehen in die Lieferantenbewertung (siehe Anlage 3</w:t>
      </w:r>
      <w:r w:rsidRPr="00DB7286">
        <w:t xml:space="preserve">, </w:t>
      </w:r>
      <w:r w:rsidR="003022E5" w:rsidRPr="00DB7286">
        <w:rPr>
          <w:i/>
        </w:rPr>
        <w:t>Lieferantenbewertung Einleitung und Berechnung</w:t>
      </w:r>
      <w:r w:rsidRPr="009A741C">
        <w:t>) ein, die für den Kunden ein wichtiges Entscheidungskriterium bei der Vergabe neuer Aufträge darstellt.</w:t>
      </w:r>
    </w:p>
    <w:p w:rsidR="00761356" w:rsidRPr="009A741C" w:rsidRDefault="00761356" w:rsidP="00632E15">
      <w:pPr>
        <w:widowControl w:val="0"/>
      </w:pPr>
    </w:p>
    <w:p w:rsidR="00632E15" w:rsidRPr="009A741C" w:rsidRDefault="00632E15" w:rsidP="00632E15">
      <w:pPr>
        <w:widowControl w:val="0"/>
      </w:pPr>
      <w:r w:rsidRPr="009A741C">
        <w:t xml:space="preserve">Der Kunde ist jederzeit nach vorheriger Information des Lieferanten zur Ersatzvornahme </w:t>
      </w:r>
      <w:r w:rsidRPr="009A741C">
        <w:lastRenderedPageBreak/>
        <w:t>insbesondere Sortieren / Nacharbeiten berechtigt.</w:t>
      </w:r>
    </w:p>
    <w:p w:rsidR="002D234D" w:rsidRPr="009A741C" w:rsidRDefault="002D234D" w:rsidP="00E73A3F">
      <w:pPr>
        <w:pStyle w:val="berschrift2"/>
        <w:tabs>
          <w:tab w:val="clear" w:pos="360"/>
          <w:tab w:val="num" w:pos="720"/>
        </w:tabs>
      </w:pPr>
      <w:bookmarkStart w:id="103" w:name="_Toc505949912"/>
      <w:bookmarkStart w:id="104" w:name="_Toc506465059"/>
      <w:bookmarkStart w:id="105" w:name="_Toc505949915"/>
      <w:bookmarkStart w:id="106" w:name="_Toc506465062"/>
      <w:bookmarkStart w:id="107" w:name="_Toc507057543"/>
      <w:bookmarkEnd w:id="103"/>
      <w:bookmarkEnd w:id="104"/>
      <w:bookmarkEnd w:id="105"/>
      <w:bookmarkEnd w:id="106"/>
      <w:r w:rsidRPr="009A741C">
        <w:t>Es</w:t>
      </w:r>
      <w:r w:rsidR="00386DE0" w:rsidRPr="009A741C">
        <w:t>k</w:t>
      </w:r>
      <w:r w:rsidRPr="009A741C">
        <w:t>alation</w:t>
      </w:r>
      <w:r w:rsidR="00E5109A" w:rsidRPr="009A741C">
        <w:t>s</w:t>
      </w:r>
      <w:r w:rsidR="00026A77" w:rsidRPr="009A741C">
        <w:t>pro</w:t>
      </w:r>
      <w:r w:rsidR="00E5109A" w:rsidRPr="009A741C">
        <w:t>z</w:t>
      </w:r>
      <w:r w:rsidR="00026A77" w:rsidRPr="009A741C">
        <w:t>ess</w:t>
      </w:r>
      <w:bookmarkEnd w:id="107"/>
    </w:p>
    <w:p w:rsidR="00AC3F66" w:rsidRPr="009A741C" w:rsidRDefault="00AC3F66" w:rsidP="00AC3F66">
      <w:pPr>
        <w:widowControl w:val="0"/>
      </w:pPr>
      <w:r w:rsidRPr="009A741C">
        <w:t>Bei sich häufenden Qualitätsproblemen oder wiederholenden Reklamationen ist der Kunde berechtigt, erhöhte Anforderungen an die Prüfung der Ware beim Lieferanten zu stellen oder andere Maßnahmen einzuleiten, letztlich auch den Lieferanten auszusteuern.</w:t>
      </w:r>
    </w:p>
    <w:p w:rsidR="00AC3F66" w:rsidRPr="009A741C" w:rsidRDefault="00AC3F66" w:rsidP="00AC3F66">
      <w:pPr>
        <w:widowControl w:val="0"/>
      </w:pPr>
    </w:p>
    <w:p w:rsidR="00613314" w:rsidRPr="00FF0C67" w:rsidRDefault="00AC3F66" w:rsidP="00E50920">
      <w:pPr>
        <w:pStyle w:val="StandardBlock"/>
        <w:rPr>
          <w:lang w:val="de-DE"/>
        </w:rPr>
      </w:pPr>
      <w:r w:rsidRPr="00FF0C67">
        <w:rPr>
          <w:lang w:val="de-DE"/>
        </w:rPr>
        <w:t xml:space="preserve">Diese Anforderungen sind in der Anlage </w:t>
      </w:r>
      <w:r w:rsidRPr="009A741C">
        <w:rPr>
          <w:lang w:val="de-DE"/>
        </w:rPr>
        <w:t>4</w:t>
      </w:r>
      <w:r w:rsidRPr="00FF0C67">
        <w:rPr>
          <w:lang w:val="de-DE"/>
        </w:rPr>
        <w:t>, QSV / S 296001</w:t>
      </w:r>
      <w:r w:rsidR="00953917" w:rsidRPr="009A741C">
        <w:rPr>
          <w:lang w:val="de-DE"/>
        </w:rPr>
        <w:t xml:space="preserve"> Teil </w:t>
      </w:r>
      <w:r w:rsidRPr="00FF0C67">
        <w:rPr>
          <w:lang w:val="de-DE"/>
        </w:rPr>
        <w:t xml:space="preserve">6 – </w:t>
      </w:r>
      <w:r w:rsidRPr="00FF0C67">
        <w:rPr>
          <w:i/>
          <w:lang w:val="de-DE"/>
        </w:rPr>
        <w:t>Eskalationsprozess</w:t>
      </w:r>
      <w:r w:rsidRPr="00FF0C67">
        <w:rPr>
          <w:lang w:val="de-DE"/>
        </w:rPr>
        <w:t xml:space="preserve"> beschrieben</w:t>
      </w:r>
      <w:r w:rsidR="00506211" w:rsidRPr="00FF0C67">
        <w:rPr>
          <w:lang w:val="de-DE"/>
        </w:rPr>
        <w:t>.</w:t>
      </w:r>
    </w:p>
    <w:p w:rsidR="00695BE5" w:rsidRPr="009A741C" w:rsidRDefault="0071624A" w:rsidP="000C154C">
      <w:pPr>
        <w:pStyle w:val="berschrift2"/>
        <w:tabs>
          <w:tab w:val="clear" w:pos="360"/>
          <w:tab w:val="num" w:pos="720"/>
        </w:tabs>
      </w:pPr>
      <w:bookmarkStart w:id="108" w:name="_Toc235248590"/>
      <w:bookmarkStart w:id="109" w:name="_Toc235248661"/>
      <w:bookmarkStart w:id="110" w:name="_Toc235249433"/>
      <w:bookmarkStart w:id="111" w:name="_Toc235250998"/>
      <w:bookmarkStart w:id="112" w:name="_Toc235251062"/>
      <w:bookmarkStart w:id="113" w:name="_Toc235334542"/>
      <w:bookmarkStart w:id="114" w:name="_Toc235337139"/>
      <w:bookmarkStart w:id="115" w:name="_Toc213213498"/>
      <w:bookmarkStart w:id="116" w:name="_Toc507057544"/>
      <w:bookmarkEnd w:id="108"/>
      <w:bookmarkEnd w:id="109"/>
      <w:bookmarkEnd w:id="110"/>
      <w:bookmarkEnd w:id="111"/>
      <w:bookmarkEnd w:id="112"/>
      <w:bookmarkEnd w:id="113"/>
      <w:bookmarkEnd w:id="114"/>
      <w:bookmarkEnd w:id="115"/>
      <w:r w:rsidRPr="009A741C">
        <w:t>Konservierung, Verpackung und Kennzeichnung</w:t>
      </w:r>
      <w:bookmarkEnd w:id="116"/>
    </w:p>
    <w:p w:rsidR="00B421F3" w:rsidRPr="009A741C" w:rsidRDefault="0071624A" w:rsidP="009A46C5">
      <w:pPr>
        <w:pStyle w:val="berschrift3"/>
        <w:rPr>
          <w:lang w:val="en-GB"/>
        </w:rPr>
      </w:pPr>
      <w:bookmarkStart w:id="117" w:name="_Toc507057545"/>
      <w:r w:rsidRPr="009A741C">
        <w:rPr>
          <w:lang w:val="en-GB"/>
        </w:rPr>
        <w:t>Konservierung</w:t>
      </w:r>
      <w:bookmarkEnd w:id="117"/>
    </w:p>
    <w:p w:rsidR="00AA34E6" w:rsidRPr="009A741C" w:rsidRDefault="00AA34E6" w:rsidP="00AA34E6">
      <w:pPr>
        <w:widowControl w:val="0"/>
      </w:pPr>
      <w:r w:rsidRPr="009A741C">
        <w:t xml:space="preserve">Während des Herstellprozesses und der Lieferung an den Kunden muss der Lieferant das Produkt so konservieren, dass sämtliche Produktanforderungen erhalten bleiben. Die Konservierung muss alle Kunden- und relevanten Behördenanforderungen erfüllen und ggf. enthalten: </w:t>
      </w:r>
    </w:p>
    <w:p w:rsidR="00AA34E6" w:rsidRPr="009A741C" w:rsidRDefault="00AA34E6" w:rsidP="00AA34E6">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Reinigung</w:t>
      </w:r>
    </w:p>
    <w:p w:rsidR="00AA34E6" w:rsidRPr="009A741C" w:rsidRDefault="00AA34E6" w:rsidP="00AA34E6">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Schutz, Detektion und Beseitigung von Fremdkörpern</w:t>
      </w:r>
    </w:p>
    <w:p w:rsidR="00AA34E6" w:rsidRPr="009A741C" w:rsidRDefault="00AA34E6" w:rsidP="00AA34E6">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Spezielle Handhabung empfindlicher Produkte</w:t>
      </w:r>
    </w:p>
    <w:p w:rsidR="00AA34E6" w:rsidRPr="009A741C" w:rsidRDefault="00AA34E6" w:rsidP="00AA34E6">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Kennzeichnung und Etikettierung inkl. Sicherheitshinweise</w:t>
      </w:r>
    </w:p>
    <w:p w:rsidR="00AA34E6" w:rsidRPr="009A741C" w:rsidRDefault="00AA34E6" w:rsidP="00AA34E6">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Regalkontrolle und Lagerumschlag</w:t>
      </w:r>
    </w:p>
    <w:p w:rsidR="00AA34E6" w:rsidRPr="009A741C" w:rsidRDefault="00AA34E6" w:rsidP="00AA34E6">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Umgang mit Gefahrstoffen</w:t>
      </w:r>
    </w:p>
    <w:p w:rsidR="00B421F3" w:rsidRPr="009A741C" w:rsidRDefault="008876A6" w:rsidP="009A46C5">
      <w:pPr>
        <w:pStyle w:val="berschrift3"/>
        <w:rPr>
          <w:lang w:val="en-GB"/>
        </w:rPr>
      </w:pPr>
      <w:bookmarkStart w:id="118" w:name="_Toc507057546"/>
      <w:r w:rsidRPr="009A741C">
        <w:t>Verpackung und Kennzeichnung</w:t>
      </w:r>
      <w:bookmarkEnd w:id="118"/>
    </w:p>
    <w:p w:rsidR="00917242" w:rsidRPr="009A741C" w:rsidRDefault="00917242" w:rsidP="00917242">
      <w:pPr>
        <w:widowControl w:val="0"/>
      </w:pPr>
      <w:r w:rsidRPr="009A741C">
        <w:t>Der Lieferant ist für den Schutz der von ihm gelieferten Produkte verantwortlich und hat eine geeignete Verpackung / Umverpackung bzw. Transportmittel zu verwenden. Bei Anlieferung müssen sowohl die (Um-)Verpackung als auch die Produkte selbst entsprechend den mit dem Kunden getroffenen Vereinbarungen und den mit geltenden Verpackungsvorschriften des Kunden gekennzeichnet sein.</w:t>
      </w:r>
    </w:p>
    <w:p w:rsidR="00917242" w:rsidRPr="009A741C" w:rsidRDefault="00917242" w:rsidP="00917242">
      <w:pPr>
        <w:widowControl w:val="0"/>
      </w:pPr>
    </w:p>
    <w:p w:rsidR="00917242" w:rsidRPr="009A741C" w:rsidRDefault="00917242" w:rsidP="00917242">
      <w:pPr>
        <w:widowControl w:val="0"/>
      </w:pPr>
      <w:r w:rsidRPr="009A741C">
        <w:t xml:space="preserve">Lieferschein und Verpackungseinheiten (Umverpackungen, Einzelverpackungen) sind mindestens zu kennzeichnen mit: </w:t>
      </w:r>
    </w:p>
    <w:p w:rsidR="00917242" w:rsidRPr="009A741C" w:rsidRDefault="00917242" w:rsidP="00917242">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Bestell- / Auftragsnummer</w:t>
      </w:r>
    </w:p>
    <w:p w:rsidR="00917242" w:rsidRPr="009A741C" w:rsidRDefault="00917242" w:rsidP="00917242">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Menge und Einheit</w:t>
      </w:r>
    </w:p>
    <w:p w:rsidR="00917242" w:rsidRPr="009A741C" w:rsidRDefault="00917242" w:rsidP="00917242">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Kundenkennzeichnungsnummer oder Kundennorm mit Änderungsstand</w:t>
      </w:r>
    </w:p>
    <w:p w:rsidR="00917242" w:rsidRPr="009A741C" w:rsidRDefault="00917242" w:rsidP="00917242">
      <w:pPr>
        <w:pStyle w:val="AufzhlungmitPunkt"/>
        <w:widowControl w:val="0"/>
        <w:numPr>
          <w:ilvl w:val="0"/>
          <w:numId w:val="0"/>
        </w:numPr>
        <w:jc w:val="left"/>
        <w:rPr>
          <w:color w:val="auto"/>
          <w:lang w:val="de-DE"/>
        </w:rPr>
      </w:pPr>
    </w:p>
    <w:p w:rsidR="00917242" w:rsidRPr="009A741C" w:rsidRDefault="00917242" w:rsidP="00917242">
      <w:pPr>
        <w:widowControl w:val="0"/>
      </w:pPr>
      <w:r w:rsidRPr="009A741C">
        <w:t xml:space="preserve">Zusätzliche Angaben falls zutreffend: </w:t>
      </w:r>
    </w:p>
    <w:p w:rsidR="00917242" w:rsidRPr="009A741C" w:rsidRDefault="00917242" w:rsidP="00917242">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Materialnummer des Kunden</w:t>
      </w:r>
    </w:p>
    <w:p w:rsidR="00917242" w:rsidRPr="009A741C" w:rsidRDefault="00917242" w:rsidP="00917242">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Chargennummer (falls in der Materialspezifikation gefordert)</w:t>
      </w:r>
    </w:p>
    <w:p w:rsidR="00917242" w:rsidRPr="009A741C" w:rsidRDefault="00917242" w:rsidP="00917242">
      <w:pPr>
        <w:pStyle w:val="AufzhlungmitPunkt"/>
        <w:widowControl w:val="0"/>
        <w:ind w:left="360" w:hanging="360"/>
        <w:jc w:val="left"/>
        <w:rPr>
          <w:color w:val="auto"/>
          <w:lang w:val="de-DE"/>
        </w:rPr>
      </w:pPr>
      <w:r w:rsidRPr="009A741C">
        <w:rPr>
          <w:color w:val="auto"/>
          <w:lang w:val="de-DE"/>
        </w:rPr>
        <w:t xml:space="preserve">Kopie der vom Kunden erteilten Abweichgenehmigung / Sonderfreigabe (siehe Anlage </w:t>
      </w:r>
      <w:r w:rsidR="00953917" w:rsidRPr="009A741C">
        <w:rPr>
          <w:color w:val="auto"/>
          <w:lang w:val="de-DE"/>
        </w:rPr>
        <w:t>1</w:t>
      </w:r>
      <w:r w:rsidRPr="009A741C">
        <w:rPr>
          <w:color w:val="auto"/>
          <w:lang w:val="de-DE"/>
        </w:rPr>
        <w:t>, QSV / S296001</w:t>
      </w:r>
      <w:r w:rsidR="00953917" w:rsidRPr="009A741C">
        <w:rPr>
          <w:color w:val="auto"/>
          <w:lang w:val="de-DE"/>
        </w:rPr>
        <w:t xml:space="preserve"> Teil 3</w:t>
      </w:r>
      <w:r w:rsidRPr="009A741C">
        <w:rPr>
          <w:color w:val="auto"/>
          <w:lang w:val="de-DE"/>
        </w:rPr>
        <w:t xml:space="preserve"> – </w:t>
      </w:r>
      <w:r w:rsidRPr="009A741C">
        <w:rPr>
          <w:i/>
          <w:color w:val="auto"/>
          <w:lang w:val="de-DE"/>
        </w:rPr>
        <w:t>Änderungsgenehmigung / Sonderfreigabe</w:t>
      </w:r>
      <w:r w:rsidRPr="009A741C">
        <w:rPr>
          <w:color w:val="auto"/>
          <w:lang w:val="de-DE"/>
        </w:rPr>
        <w:t>)</w:t>
      </w:r>
    </w:p>
    <w:p w:rsidR="00917242" w:rsidRPr="009A741C" w:rsidRDefault="00917242" w:rsidP="00917242">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Hinweis auf Teil- oder Restlieferung</w:t>
      </w:r>
    </w:p>
    <w:p w:rsidR="00917242" w:rsidRPr="009A741C" w:rsidRDefault="00917242" w:rsidP="00917242">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Kennzeichnung Serienerstmuster</w:t>
      </w:r>
    </w:p>
    <w:p w:rsidR="00917242" w:rsidRPr="009A741C" w:rsidRDefault="00917242" w:rsidP="00917242">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Herkunftsland</w:t>
      </w:r>
    </w:p>
    <w:p w:rsidR="00917242" w:rsidRPr="009A741C" w:rsidRDefault="00917242" w:rsidP="00917242">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Herstelldatum</w:t>
      </w:r>
    </w:p>
    <w:p w:rsidR="00917242" w:rsidRPr="009A741C" w:rsidRDefault="00917242" w:rsidP="00917242">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Haltbarkeitsdauer</w:t>
      </w:r>
    </w:p>
    <w:p w:rsidR="00917242" w:rsidRPr="009A741C" w:rsidRDefault="00917242" w:rsidP="00917242">
      <w:pPr>
        <w:pStyle w:val="AufzhlungmitPunkt"/>
        <w:widowControl w:val="0"/>
        <w:numPr>
          <w:ilvl w:val="0"/>
          <w:numId w:val="14"/>
        </w:numPr>
        <w:tabs>
          <w:tab w:val="clear" w:pos="2552"/>
          <w:tab w:val="left" w:pos="426"/>
        </w:tabs>
        <w:ind w:left="567" w:hanging="567"/>
        <w:jc w:val="left"/>
        <w:rPr>
          <w:color w:val="auto"/>
          <w:lang w:val="de-DE"/>
        </w:rPr>
      </w:pPr>
      <w:r w:rsidRPr="009A741C">
        <w:rPr>
          <w:color w:val="auto"/>
          <w:lang w:val="de-DE"/>
        </w:rPr>
        <w:t>Verfalldatum</w:t>
      </w:r>
    </w:p>
    <w:p w:rsidR="00751BB6" w:rsidRPr="009A741C" w:rsidRDefault="00A242EC" w:rsidP="00E73A3F">
      <w:pPr>
        <w:pStyle w:val="berschrift2"/>
        <w:tabs>
          <w:tab w:val="clear" w:pos="360"/>
          <w:tab w:val="num" w:pos="720"/>
        </w:tabs>
      </w:pPr>
      <w:bookmarkStart w:id="119" w:name="_Toc505949929"/>
      <w:bookmarkStart w:id="120" w:name="_Toc506465076"/>
      <w:bookmarkStart w:id="121" w:name="_Toc505949930"/>
      <w:bookmarkStart w:id="122" w:name="_Toc506465077"/>
      <w:bookmarkStart w:id="123" w:name="_Toc505949931"/>
      <w:bookmarkStart w:id="124" w:name="_Toc506465078"/>
      <w:bookmarkStart w:id="125" w:name="_Toc505949932"/>
      <w:bookmarkStart w:id="126" w:name="_Toc506465079"/>
      <w:bookmarkStart w:id="127" w:name="_Toc505949935"/>
      <w:bookmarkStart w:id="128" w:name="_Toc506465082"/>
      <w:bookmarkStart w:id="129" w:name="_Toc505949936"/>
      <w:bookmarkStart w:id="130" w:name="_Toc506465083"/>
      <w:bookmarkStart w:id="131" w:name="_Toc505949937"/>
      <w:bookmarkStart w:id="132" w:name="_Toc506465084"/>
      <w:bookmarkStart w:id="133" w:name="_Toc505949938"/>
      <w:bookmarkStart w:id="134" w:name="_Toc506465085"/>
      <w:bookmarkStart w:id="135" w:name="_Toc213213500"/>
      <w:bookmarkStart w:id="136" w:name="_Toc213213501"/>
      <w:bookmarkStart w:id="137" w:name="_Toc50705754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9A741C">
        <w:lastRenderedPageBreak/>
        <w:t>F</w:t>
      </w:r>
      <w:r w:rsidR="00D76A0F" w:rsidRPr="009A741C">
        <w:t>unktions-, Zuverlässigkeits- und Lebensdauerprüfungen</w:t>
      </w:r>
      <w:bookmarkEnd w:id="137"/>
    </w:p>
    <w:p w:rsidR="00D76A0F" w:rsidRPr="009A741C" w:rsidRDefault="00D76A0F" w:rsidP="00D76A0F">
      <w:pPr>
        <w:widowControl w:val="0"/>
      </w:pPr>
      <w:r w:rsidRPr="009A741C">
        <w:t xml:space="preserve">Sind in den Zeichnungen und Vorschriften Angaben über das Langzeitverhalten der Produkte gemacht, so muss diese Prüfung in Verantwortung des Lieferanten durchgeführt werden. Art und Umfang dieser Prüfungen sind einvernehmlich festzulegen. Nur bei schriftlicher Genehmigung der Qualitätssicherung des Kunden kann diese Prüfung für den Lieferanten entfallen. </w:t>
      </w:r>
    </w:p>
    <w:p w:rsidR="00A66CF8" w:rsidRPr="009A741C" w:rsidRDefault="00422400" w:rsidP="00E73A3F">
      <w:pPr>
        <w:pStyle w:val="berschrift2"/>
        <w:tabs>
          <w:tab w:val="clear" w:pos="360"/>
          <w:tab w:val="num" w:pos="720"/>
        </w:tabs>
      </w:pPr>
      <w:bookmarkStart w:id="138" w:name="_Toc505949944"/>
      <w:bookmarkStart w:id="139" w:name="_Toc506465091"/>
      <w:bookmarkStart w:id="140" w:name="_Toc507057548"/>
      <w:bookmarkEnd w:id="138"/>
      <w:bookmarkEnd w:id="139"/>
      <w:r w:rsidRPr="009A741C">
        <w:t>Freigabebescheinigung</w:t>
      </w:r>
      <w:bookmarkEnd w:id="140"/>
    </w:p>
    <w:p w:rsidR="00422400" w:rsidRPr="009A741C" w:rsidRDefault="00422400" w:rsidP="00422400">
      <w:pPr>
        <w:widowControl w:val="0"/>
      </w:pPr>
      <w:r w:rsidRPr="009A741C">
        <w:t>Falls nicht in der Bestellung anders beschrieben, werden vom Lieferanten alle Produkte durch eine unterschriebene Konformitätserklärung nach EN 10204 Type 2.1 oder vergleichbar freigegeben.</w:t>
      </w:r>
    </w:p>
    <w:p w:rsidR="00422400" w:rsidRPr="009A741C" w:rsidRDefault="00422400" w:rsidP="00422400">
      <w:pPr>
        <w:widowControl w:val="0"/>
      </w:pPr>
    </w:p>
    <w:p w:rsidR="00422400" w:rsidRPr="009A741C" w:rsidRDefault="00422400" w:rsidP="00422400">
      <w:pPr>
        <w:widowControl w:val="0"/>
      </w:pPr>
      <w:r w:rsidRPr="009A741C">
        <w:t>Soweit ausdrücklich erforderlich, hat der Lieferant die Produkte durch ein Werkprüfzeugnis (EN 10204 Type 3.1) oder eine Freigabebescheinigung (EASA Form 1 / FAA 8130) freizugeben.</w:t>
      </w:r>
    </w:p>
    <w:p w:rsidR="00422400" w:rsidRPr="00FF0C67" w:rsidRDefault="00422400" w:rsidP="006E25D6">
      <w:pPr>
        <w:pStyle w:val="StandardBlock"/>
        <w:rPr>
          <w:lang w:val="de-DE"/>
        </w:rPr>
      </w:pPr>
    </w:p>
    <w:p w:rsidR="00B95445" w:rsidRPr="00FF0C67" w:rsidRDefault="00422400" w:rsidP="00E50920">
      <w:pPr>
        <w:pStyle w:val="StandardBlock"/>
        <w:rPr>
          <w:lang w:val="de-DE"/>
        </w:rPr>
      </w:pPr>
      <w:r w:rsidRPr="00FF0C67">
        <w:rPr>
          <w:lang w:val="de-DE"/>
        </w:rPr>
        <w:t>Falls nicht in der Bestellung anders beschrieben, muss der Lieferant die Freigabebescheinigungen für mindestens 10 Jahren aufbewahren und in der Lage sein, auf Kundenanforderung</w:t>
      </w:r>
      <w:r w:rsidRPr="009A741C">
        <w:rPr>
          <w:lang w:val="de-DE"/>
        </w:rPr>
        <w:t>,</w:t>
      </w:r>
      <w:r w:rsidRPr="00FF0C67">
        <w:rPr>
          <w:lang w:val="de-DE"/>
        </w:rPr>
        <w:t xml:space="preserve"> diese innerhalb 24 Stunden dem Kunden zur Verfügung zu stellen. </w:t>
      </w:r>
    </w:p>
    <w:p w:rsidR="001C3F95" w:rsidRPr="009A741C" w:rsidRDefault="00B95445" w:rsidP="00E73A3F">
      <w:pPr>
        <w:pStyle w:val="berschrift2"/>
        <w:tabs>
          <w:tab w:val="clear" w:pos="360"/>
          <w:tab w:val="num" w:pos="720"/>
        </w:tabs>
      </w:pPr>
      <w:bookmarkStart w:id="141" w:name="_Toc507057549"/>
      <w:r w:rsidRPr="009A741C">
        <w:t>Archivi</w:t>
      </w:r>
      <w:r w:rsidR="00676FBD" w:rsidRPr="009A741C">
        <w:t>erung von Aufzeichnungen</w:t>
      </w:r>
      <w:bookmarkEnd w:id="141"/>
    </w:p>
    <w:p w:rsidR="008C55FA" w:rsidRPr="009A741C" w:rsidRDefault="008C55FA" w:rsidP="008C55FA">
      <w:pPr>
        <w:widowControl w:val="0"/>
      </w:pPr>
      <w:r w:rsidRPr="009A741C">
        <w:t>Der Lieferant muss alle notwendigen Aufzeichnungen aufbewahren, um nachzuweisen, dass die Produkte nach den in der relevanten Bestellung beschrieben Anforderungen hergestellt oder verlagert wurden.</w:t>
      </w:r>
      <w:r w:rsidR="0017393B" w:rsidRPr="009A741C">
        <w:t xml:space="preserve"> </w:t>
      </w:r>
      <w:r w:rsidRPr="009A741C">
        <w:t>Die Aufzeichnungen sind sicher aufzubewahren und so zu halten, dass sie lesbar, leicht erkennbar und wieder auffindbar bleiben und nur befugten Personen zugänglich sind. Aufbewahrungsräume und/oder Behältnisse müssen ausreichenden Schutz gegen Feuer, Wasser oder andere schädliche Einflüsse bieten. Hierin eingeschlossen sind auch optische bzw. elektronische Datenträger.</w:t>
      </w:r>
    </w:p>
    <w:p w:rsidR="008C55FA" w:rsidRPr="009A741C" w:rsidRDefault="008C55FA" w:rsidP="008C55FA">
      <w:pPr>
        <w:widowControl w:val="0"/>
      </w:pPr>
    </w:p>
    <w:p w:rsidR="008C55FA" w:rsidRPr="009A741C" w:rsidRDefault="008C55FA" w:rsidP="008C55FA">
      <w:pPr>
        <w:widowControl w:val="0"/>
      </w:pPr>
      <w:r w:rsidRPr="009A741C">
        <w:t xml:space="preserve">Falls nicht in der Bestellung anders beschrieben, muss der Lieferant alle Aufzeichnungen für mindestens </w:t>
      </w:r>
      <w:r w:rsidR="0015228E" w:rsidRPr="009A741C">
        <w:t>7</w:t>
      </w:r>
      <w:r w:rsidRPr="009A741C">
        <w:t>0 Jahre aufbewahren.</w:t>
      </w:r>
    </w:p>
    <w:p w:rsidR="0013466A" w:rsidRPr="009A741C" w:rsidRDefault="0013466A" w:rsidP="008C55FA">
      <w:pPr>
        <w:widowControl w:val="0"/>
      </w:pPr>
    </w:p>
    <w:p w:rsidR="0013466A" w:rsidRPr="009A741C" w:rsidRDefault="0013466A" w:rsidP="0013466A">
      <w:pPr>
        <w:widowControl w:val="0"/>
      </w:pPr>
      <w:r w:rsidRPr="009A741C">
        <w:t>Vertretern des Kunden, der Endkunden und/oder der jeweiligen regelsetzenden Dienststelle/Behörde ist nach Terminabsprache Einsicht in die Daten und Dokumente zu gewähren.</w:t>
      </w:r>
    </w:p>
    <w:p w:rsidR="0013466A" w:rsidRPr="009A741C" w:rsidRDefault="0013466A" w:rsidP="0013466A">
      <w:pPr>
        <w:widowControl w:val="0"/>
      </w:pPr>
    </w:p>
    <w:p w:rsidR="00204537" w:rsidRPr="009A741C" w:rsidRDefault="0013466A" w:rsidP="00FF0C67">
      <w:r w:rsidRPr="009A741C">
        <w:rPr>
          <w:szCs w:val="22"/>
        </w:rPr>
        <w:t>Bei Firmenauflösung vor Ablauf der Aufbewahrungsfristen sind alle Aufzeichnungen an den Rechtsnachfolger zu übertragen oder dem Kunden zur Verfügung zu stellen.</w:t>
      </w:r>
    </w:p>
    <w:p w:rsidR="00695BE5" w:rsidRPr="009A741C" w:rsidRDefault="009A0DB5" w:rsidP="00E73A3F">
      <w:pPr>
        <w:pStyle w:val="berschrift2"/>
        <w:tabs>
          <w:tab w:val="clear" w:pos="360"/>
          <w:tab w:val="num" w:pos="720"/>
        </w:tabs>
      </w:pPr>
      <w:bookmarkStart w:id="142" w:name="_Toc213213505"/>
      <w:bookmarkStart w:id="143" w:name="_Toc213213506"/>
      <w:bookmarkStart w:id="144" w:name="_Toc507057550"/>
      <w:bookmarkEnd w:id="142"/>
      <w:bookmarkEnd w:id="143"/>
      <w:r w:rsidRPr="009A741C">
        <w:t>Prüfmittel</w:t>
      </w:r>
      <w:bookmarkEnd w:id="144"/>
    </w:p>
    <w:p w:rsidR="00B374E0" w:rsidRPr="00DB7286" w:rsidRDefault="009A03FF" w:rsidP="00B374E0">
      <w:pPr>
        <w:widowControl w:val="0"/>
      </w:pPr>
      <w:r w:rsidRPr="00DB7286">
        <w:t xml:space="preserve">Der Lieferant ist verpflichtet, sich so mit Prüfmitteln auszustatten, dass alle Produktmerkmale geprüft werden können. Bei Inanspruchnahme eines externen Unternehmens für Prüfungen muss dieses entsprechend nachweisbar </w:t>
      </w:r>
      <w:r w:rsidR="00E5583B" w:rsidRPr="00DB7286">
        <w:t>akkreditiert sein.</w:t>
      </w:r>
    </w:p>
    <w:p w:rsidR="00E5583B" w:rsidRPr="00DB7286" w:rsidRDefault="00E5583B" w:rsidP="00B374E0">
      <w:pPr>
        <w:widowControl w:val="0"/>
      </w:pPr>
    </w:p>
    <w:p w:rsidR="00695BE5" w:rsidRPr="00DB7286" w:rsidRDefault="00B374E0" w:rsidP="00FF0C67">
      <w:r w:rsidRPr="00DB7286">
        <w:t xml:space="preserve">Falls erforderlich, sind zwischen Lieferant und Kunden </w:t>
      </w:r>
      <w:r w:rsidR="00E5583B" w:rsidRPr="00DB7286">
        <w:t xml:space="preserve">geeignete </w:t>
      </w:r>
      <w:r w:rsidRPr="00DB7286">
        <w:t>Prüfmittel und Prüfmethoden aufeinander abzustimmen.</w:t>
      </w:r>
    </w:p>
    <w:p w:rsidR="00E5583B" w:rsidRPr="00DB7286" w:rsidRDefault="00E5583B" w:rsidP="00FF0C67"/>
    <w:p w:rsidR="00E5583B" w:rsidRPr="009A741C" w:rsidRDefault="00E5583B" w:rsidP="00FF0C67">
      <w:r w:rsidRPr="00DB7286">
        <w:t>Die Prüfmittel des Lieferanten müssen einer geregelten, angemessenen und nachweisbaren Überwachung unterliegen. Die Prüfprozesseignung bzw. die Eignung von Mess- und Prüfsystemen ist zu gewährleisten.</w:t>
      </w:r>
    </w:p>
    <w:p w:rsidR="00695BE5" w:rsidRPr="009A741C" w:rsidRDefault="00A318C0" w:rsidP="00E73A3F">
      <w:pPr>
        <w:pStyle w:val="berschrift2"/>
        <w:tabs>
          <w:tab w:val="clear" w:pos="360"/>
          <w:tab w:val="num" w:pos="720"/>
        </w:tabs>
      </w:pPr>
      <w:bookmarkStart w:id="145" w:name="_Toc507057551"/>
      <w:r w:rsidRPr="009A741C">
        <w:t>Umwelt</w:t>
      </w:r>
      <w:r w:rsidR="007C7CFC" w:rsidRPr="009A741C">
        <w:t>,</w:t>
      </w:r>
      <w:r w:rsidRPr="009A741C">
        <w:t xml:space="preserve"> Sicherheit</w:t>
      </w:r>
      <w:r w:rsidR="007C7CFC" w:rsidRPr="009A741C">
        <w:t xml:space="preserve">, </w:t>
      </w:r>
      <w:r w:rsidRPr="009A741C">
        <w:t>R</w:t>
      </w:r>
      <w:r w:rsidR="00695BE5" w:rsidRPr="009A741C">
        <w:t>ecycling</w:t>
      </w:r>
      <w:bookmarkEnd w:id="145"/>
    </w:p>
    <w:p w:rsidR="00E64A8B" w:rsidRPr="009A741C" w:rsidRDefault="00E64A8B" w:rsidP="00E64A8B">
      <w:pPr>
        <w:widowControl w:val="0"/>
      </w:pPr>
      <w:r w:rsidRPr="009A741C">
        <w:t xml:space="preserve">Als Teil seines Engagements für Umwelt, Gesundheit und Sicherheit hat der Kunde zum Ziel, negative Auswirkungen seiner und der zugekauften Produkte auf Mensch und Umwelt </w:t>
      </w:r>
      <w:r w:rsidRPr="009A741C">
        <w:lastRenderedPageBreak/>
        <w:t>auszuschließen. Der Lieferant verpflichtet sich zur Einhaltung der einschlägigen gültigen Gesetze und Verordnungen.</w:t>
      </w:r>
    </w:p>
    <w:p w:rsidR="00EC1A31" w:rsidRPr="009A741C" w:rsidRDefault="00EC1A31" w:rsidP="00E64A8B">
      <w:pPr>
        <w:widowControl w:val="0"/>
      </w:pPr>
    </w:p>
    <w:p w:rsidR="00E64A8B" w:rsidRPr="009A741C" w:rsidRDefault="00EC1A31" w:rsidP="00E64A8B">
      <w:pPr>
        <w:widowControl w:val="0"/>
      </w:pPr>
      <w:r w:rsidRPr="009A741C">
        <w:t>Die vom Lieferanten verwendeten Materialien und Betriebsstoffe sowie deren Inhaltsstoffe müssen den gesetzlichen Bestimmungen bzgl. Umwelt, Sicherheit und Recycling entsprechen, gegebenenfalls den gesondert schriftlich vereinbarten Kundennormen oder Zeichnungsangaben.</w:t>
      </w:r>
    </w:p>
    <w:p w:rsidR="00AD3327" w:rsidRPr="009A741C" w:rsidRDefault="00E64A8B" w:rsidP="00A76443">
      <w:pPr>
        <w:pStyle w:val="StandardBlock"/>
        <w:rPr>
          <w:lang w:val="de-DE"/>
        </w:rPr>
      </w:pPr>
      <w:r w:rsidRPr="00FF0C67">
        <w:rPr>
          <w:lang w:val="de-DE"/>
        </w:rPr>
        <w:t xml:space="preserve">Eine Zertifizierung nach ISO 14001 ist wünschenswert und wird im Lieferantenbewertung </w:t>
      </w:r>
      <w:r w:rsidRPr="009A741C">
        <w:rPr>
          <w:lang w:val="de-DE"/>
        </w:rPr>
        <w:t>berücksichtigt (siehe Anlage 3</w:t>
      </w:r>
      <w:r w:rsidRPr="00FF0C67">
        <w:rPr>
          <w:lang w:val="de-DE"/>
        </w:rPr>
        <w:t xml:space="preserve">, </w:t>
      </w:r>
      <w:r w:rsidR="009A03FF" w:rsidRPr="00DB7286">
        <w:rPr>
          <w:i/>
          <w:lang w:val="de-DE"/>
        </w:rPr>
        <w:t>Lieferantenbewertung Einleitung und Berechnung</w:t>
      </w:r>
      <w:r w:rsidR="009A03FF" w:rsidRPr="00DB7286">
        <w:rPr>
          <w:lang w:val="de-DE"/>
        </w:rPr>
        <w:t xml:space="preserve"> </w:t>
      </w:r>
      <w:r w:rsidR="00DB7286">
        <w:rPr>
          <w:lang w:val="de-DE"/>
        </w:rPr>
        <w:t>)</w:t>
      </w:r>
      <w:r w:rsidRPr="009A741C">
        <w:rPr>
          <w:lang w:val="de-DE"/>
        </w:rPr>
        <w:t xml:space="preserve">. </w:t>
      </w:r>
    </w:p>
    <w:p w:rsidR="00695BE5" w:rsidRPr="009A741C" w:rsidRDefault="00024061" w:rsidP="00E73A3F">
      <w:pPr>
        <w:pStyle w:val="berschrift2"/>
        <w:tabs>
          <w:tab w:val="clear" w:pos="360"/>
          <w:tab w:val="num" w:pos="720"/>
        </w:tabs>
      </w:pPr>
      <w:bookmarkStart w:id="146" w:name="_Toc507057552"/>
      <w:r w:rsidRPr="009A741C">
        <w:t>Überprüfung der angelieferten Vertragsprodukte</w:t>
      </w:r>
      <w:bookmarkEnd w:id="146"/>
    </w:p>
    <w:p w:rsidR="000C7B49" w:rsidRPr="00FF0C67" w:rsidRDefault="00425AB9" w:rsidP="00425AB9">
      <w:pPr>
        <w:pStyle w:val="StandardBlock"/>
        <w:rPr>
          <w:lang w:val="de-DE"/>
        </w:rPr>
      </w:pPr>
      <w:r w:rsidRPr="009A741C">
        <w:rPr>
          <w:lang w:val="de-DE"/>
        </w:rPr>
        <w:t>Eine Wareneingangskontrolle findet durch den Kunden nur im Hinblick auf äußerlich erkennbare Schäden und von außen erkennbare Abweichungen in Identität und Menge statt. Solche Mängel wird der Kunde unverzüglich rügen. Im Weiteren rügt der Kunde Mängel, sobald sie nach den Gegebenheiten des ordnungsgemäßen Geschäftsablaufs festgestellt werden. Der Lieferant verzichtet insoweit auf den Einwand der verspäteten Mängelrüge.</w:t>
      </w:r>
    </w:p>
    <w:p w:rsidR="00695BE5" w:rsidRPr="009A741C" w:rsidRDefault="0081484E" w:rsidP="00E73A3F">
      <w:pPr>
        <w:pStyle w:val="berschrift2"/>
        <w:tabs>
          <w:tab w:val="clear" w:pos="360"/>
          <w:tab w:val="num" w:pos="720"/>
        </w:tabs>
      </w:pPr>
      <w:bookmarkStart w:id="147" w:name="_Toc507057553"/>
      <w:r w:rsidRPr="009A741C">
        <w:t>Liefertreue</w:t>
      </w:r>
      <w:bookmarkEnd w:id="147"/>
    </w:p>
    <w:p w:rsidR="00BB16FA" w:rsidRPr="009A741C" w:rsidRDefault="00BB16FA" w:rsidP="00BB16FA">
      <w:pPr>
        <w:widowControl w:val="0"/>
      </w:pPr>
      <w:r w:rsidRPr="009A741C">
        <w:t>Der Lieferant ist zur Einhaltung und Überwachung der vereinbarten Mengen und des Termins verpflichtet. Wird vom Lieferanten erkannt, dass die bestellte Liefermenge zum vereinbarten Termin nicht geliefert werden kann, so ist der Kunde über den auf der Bestellung angegebenen Ansprechpartner sofort zu informieren.</w:t>
      </w:r>
    </w:p>
    <w:p w:rsidR="00BB16FA" w:rsidRPr="009A741C" w:rsidRDefault="00BB16FA" w:rsidP="00BB16FA">
      <w:pPr>
        <w:widowControl w:val="0"/>
      </w:pPr>
    </w:p>
    <w:p w:rsidR="00BB16FA" w:rsidRPr="009A741C" w:rsidRDefault="00BB16FA" w:rsidP="00BB16FA">
      <w:pPr>
        <w:pStyle w:val="StandardBlock"/>
        <w:rPr>
          <w:szCs w:val="22"/>
          <w:lang w:val="de-DE"/>
        </w:rPr>
      </w:pPr>
      <w:r w:rsidRPr="00FF0C67">
        <w:rPr>
          <w:lang w:val="de-DE"/>
        </w:rPr>
        <w:t xml:space="preserve">Abweichungen vom vereinbartem Liefertermin und vereinbarter </w:t>
      </w:r>
      <w:r w:rsidR="00CE1FC2" w:rsidRPr="00DB7286">
        <w:rPr>
          <w:lang w:val="de-DE"/>
        </w:rPr>
        <w:t xml:space="preserve">Menge </w:t>
      </w:r>
      <w:r w:rsidRPr="00DB7286">
        <w:rPr>
          <w:lang w:val="de-DE"/>
        </w:rPr>
        <w:t xml:space="preserve">gehen ebenfalls in die Lieferantenbewertung mit ein (siehe Anlage 3, </w:t>
      </w:r>
      <w:r w:rsidR="009A03FF" w:rsidRPr="00DB7286">
        <w:rPr>
          <w:i/>
          <w:lang w:val="de-DE"/>
        </w:rPr>
        <w:t>Lieferantenbewertung Einleitung und Berechnung</w:t>
      </w:r>
      <w:r w:rsidRPr="00DB7286">
        <w:rPr>
          <w:szCs w:val="22"/>
          <w:lang w:val="de-DE"/>
        </w:rPr>
        <w:t>),</w:t>
      </w:r>
      <w:r w:rsidRPr="00FF0C67">
        <w:rPr>
          <w:szCs w:val="22"/>
          <w:lang w:val="de-DE"/>
        </w:rPr>
        <w:t xml:space="preserve"> die für den Kunden ein wichtiges Entscheidungskriterium bei der Vergabe neuer Aufträge darstel</w:t>
      </w:r>
      <w:r w:rsidRPr="009A741C">
        <w:rPr>
          <w:szCs w:val="22"/>
          <w:lang w:val="de-DE"/>
        </w:rPr>
        <w:t>lt.</w:t>
      </w:r>
    </w:p>
    <w:p w:rsidR="00270102" w:rsidRPr="00FF0C67" w:rsidRDefault="00BB16FA" w:rsidP="00A76443">
      <w:pPr>
        <w:pStyle w:val="StandardBlock"/>
        <w:rPr>
          <w:lang w:val="de-DE"/>
        </w:rPr>
      </w:pPr>
      <w:r w:rsidRPr="00FF0C67">
        <w:rPr>
          <w:lang w:val="de-DE"/>
        </w:rPr>
        <w:t xml:space="preserve">Der Lieferant muss </w:t>
      </w:r>
      <w:r w:rsidRPr="009A741C">
        <w:rPr>
          <w:lang w:val="de-DE"/>
        </w:rPr>
        <w:t>seine Liefertreue regelmäßig</w:t>
      </w:r>
      <w:r w:rsidRPr="00FF0C67">
        <w:rPr>
          <w:lang w:val="de-DE"/>
        </w:rPr>
        <w:t xml:space="preserve"> bewerten – Fälle mit zusätzlichen Frachtkosten eingeschlossen -</w:t>
      </w:r>
      <w:r w:rsidR="00213930" w:rsidRPr="00FF0C67">
        <w:rPr>
          <w:lang w:val="de-DE"/>
        </w:rPr>
        <w:t xml:space="preserve">. </w:t>
      </w:r>
      <w:r w:rsidRPr="009A741C">
        <w:rPr>
          <w:lang w:val="de-DE"/>
        </w:rPr>
        <w:t>Diese Information muss auf Anfrage dem Kunden zur Verfügung gestellt werden.</w:t>
      </w:r>
    </w:p>
    <w:p w:rsidR="005D0E36" w:rsidRPr="009A741C" w:rsidRDefault="00815B6E" w:rsidP="00E73A3F">
      <w:pPr>
        <w:pStyle w:val="berschrift2"/>
        <w:tabs>
          <w:tab w:val="clear" w:pos="360"/>
          <w:tab w:val="num" w:pos="720"/>
        </w:tabs>
      </w:pPr>
      <w:bookmarkStart w:id="148" w:name="_Toc507057554"/>
      <w:r w:rsidRPr="009A741C">
        <w:t>Schulung und Qualifizierung der Mitarbeiter</w:t>
      </w:r>
      <w:bookmarkEnd w:id="148"/>
    </w:p>
    <w:p w:rsidR="001822B9" w:rsidRPr="009A741C" w:rsidRDefault="001822B9" w:rsidP="001822B9">
      <w:pPr>
        <w:widowControl w:val="0"/>
      </w:pPr>
      <w:r w:rsidRPr="009A741C">
        <w:t>Alle Mitarbeiter müssen entsprechend ihres Aufgabengebietes qualifiziert sein. Für spezielle Prozesse (z. B. zerstörungsfreie Prüfung, Beschichten, Wärmebehandlung) dürfen nur Personen mit vorgeschriebener Qualifikation eingesetzt werden. Der Lieferant muss Aufzeichnungen zu Schulung und Qualifikation seiner Mitarbeiter führen und aufbewahren.</w:t>
      </w:r>
    </w:p>
    <w:p w:rsidR="002F0514" w:rsidRPr="009A741C" w:rsidRDefault="002F0514" w:rsidP="002F0514">
      <w:pPr>
        <w:pStyle w:val="berschrift1"/>
        <w:rPr>
          <w:lang w:val="en-GB"/>
        </w:rPr>
      </w:pPr>
      <w:bookmarkStart w:id="149" w:name="_Toc507057555"/>
      <w:r w:rsidRPr="009A741C">
        <w:rPr>
          <w:lang w:val="en-GB"/>
        </w:rPr>
        <w:t>Erweiterte Kundenanforderungen</w:t>
      </w:r>
      <w:bookmarkEnd w:id="149"/>
    </w:p>
    <w:p w:rsidR="002F0514" w:rsidRPr="009A741C" w:rsidRDefault="002F0514" w:rsidP="002F0514">
      <w:pPr>
        <w:pStyle w:val="berschrift2"/>
        <w:tabs>
          <w:tab w:val="clear" w:pos="360"/>
          <w:tab w:val="num" w:pos="720"/>
        </w:tabs>
      </w:pPr>
      <w:bookmarkStart w:id="150" w:name="_Toc507057556"/>
      <w:r w:rsidRPr="009A741C">
        <w:t>Prozessüberwachung mittels CQI-Assessments</w:t>
      </w:r>
      <w:bookmarkEnd w:id="150"/>
    </w:p>
    <w:p w:rsidR="002F0514" w:rsidRPr="009A741C" w:rsidRDefault="002F0514" w:rsidP="002F0514">
      <w:r w:rsidRPr="009A741C">
        <w:t>Der Lieferant verpflichtet sich die Anforderungen aus der AIAG (Automotive Indust</w:t>
      </w:r>
      <w:r w:rsidR="00240FCB">
        <w:t>ry Action Group) bezüglich der B</w:t>
      </w:r>
      <w:r w:rsidRPr="009A741C">
        <w:t xml:space="preserve">ewertung technischer Prozesse durch jährliche “CQI-Asesssments” (Continuous Quality Improvement) auch innerhalb seiner Lieferkette einzuhalten. </w:t>
      </w:r>
    </w:p>
    <w:p w:rsidR="002F0514" w:rsidRPr="009A741C" w:rsidRDefault="002F0514" w:rsidP="002F0514"/>
    <w:p w:rsidR="002F0514" w:rsidRDefault="002F0514" w:rsidP="002F0514">
      <w:r w:rsidRPr="009A741C">
        <w:t>Die CQI-Assessments sind dem Kunden auf Anfrage zur Verfügung zu stellen.</w:t>
      </w:r>
    </w:p>
    <w:p w:rsidR="00240FCB" w:rsidRPr="00461670" w:rsidRDefault="00240FCB" w:rsidP="002F0514"/>
    <w:p w:rsidR="00240FCB" w:rsidRPr="00461670" w:rsidRDefault="00240FCB" w:rsidP="002F0514">
      <w:pPr>
        <w:rPr>
          <w:b/>
        </w:rPr>
      </w:pPr>
      <w:r w:rsidRPr="00461670">
        <w:t>Die in diesem Kapitel beschriebenen Anforderungen können durch eine NADCAP-Zertifizierung ersetzt werden und gelten nur für folgende spezielle Prozesse: Wärmebehandlung, galvanische Oberflächenbehandlung, Oberflächenbeschichtung, Schweißprozessen, Lötprozessen, Kunststoffformprozessen und Gussprozessen.</w:t>
      </w:r>
      <w:r w:rsidRPr="00461670">
        <w:rPr>
          <w:b/>
        </w:rPr>
        <w:t xml:space="preserve"> </w:t>
      </w:r>
    </w:p>
    <w:p w:rsidR="002F0514" w:rsidRPr="009A741C" w:rsidRDefault="002F0514" w:rsidP="00CE1FC2">
      <w:pPr>
        <w:pStyle w:val="berschrift2"/>
        <w:pageBreakBefore/>
        <w:tabs>
          <w:tab w:val="clear" w:pos="360"/>
          <w:tab w:val="num" w:pos="720"/>
        </w:tabs>
      </w:pPr>
      <w:bookmarkStart w:id="151" w:name="_Toc507057557"/>
      <w:r w:rsidRPr="009A741C">
        <w:lastRenderedPageBreak/>
        <w:t>Produktsicherheitsbeauftragter (PSB)</w:t>
      </w:r>
      <w:bookmarkEnd w:id="151"/>
    </w:p>
    <w:p w:rsidR="002F0514" w:rsidRPr="009A741C" w:rsidRDefault="002F0514" w:rsidP="002F0514">
      <w:r w:rsidRPr="009A741C">
        <w:t xml:space="preserve">Um die Anforderungen an die Produktsicherheit bzw. die Produkthaftung zu gewährleisten, muss der Lieferant innerhalb seiner Organisation für jeden Produktionsstandort einen Verantwortlichen für diese Funktion </w:t>
      </w:r>
      <w:r w:rsidR="002A4605" w:rsidRPr="009A741C">
        <w:t>be</w:t>
      </w:r>
      <w:r w:rsidRPr="009A741C">
        <w:t xml:space="preserve">nennen. </w:t>
      </w:r>
      <w:r w:rsidR="002A4605" w:rsidRPr="009A741C">
        <w:t xml:space="preserve">Erfolgt keine spezifische Ernennung, geht der Kunde davon aus, dass der Qualitätsleiter / QM-Beauftragte des Lieferanten diese Aufgabe wahrnimmt. </w:t>
      </w:r>
    </w:p>
    <w:p w:rsidR="002A4605" w:rsidRPr="009A741C" w:rsidRDefault="002A4605" w:rsidP="002A4605">
      <w:pPr>
        <w:pStyle w:val="berschrift2"/>
        <w:tabs>
          <w:tab w:val="clear" w:pos="360"/>
          <w:tab w:val="num" w:pos="720"/>
        </w:tabs>
      </w:pPr>
      <w:bookmarkStart w:id="152" w:name="_Toc507057558"/>
      <w:r w:rsidRPr="009A741C">
        <w:t xml:space="preserve">Conflict Minerals – </w:t>
      </w:r>
      <w:r w:rsidRPr="00FF0C67">
        <w:rPr>
          <w:lang w:val="en-US"/>
        </w:rPr>
        <w:t>Abfrage nach</w:t>
      </w:r>
      <w:r w:rsidRPr="009A741C">
        <w:t xml:space="preserve"> Dodd Frank Act Section 1502</w:t>
      </w:r>
      <w:bookmarkEnd w:id="152"/>
      <w:r w:rsidRPr="009A741C">
        <w:t xml:space="preserve"> </w:t>
      </w:r>
    </w:p>
    <w:p w:rsidR="002A4605" w:rsidRPr="009A741C" w:rsidRDefault="002A4605" w:rsidP="000053A2">
      <w:r w:rsidRPr="009A741C">
        <w:t>Durch eine Initiative der amerikanischen Aufsichtsbehörde SEC (Securities and Exchange Commis</w:t>
      </w:r>
      <w:r w:rsidR="00BC7B39" w:rsidRPr="009A741C">
        <w:t>s</w:t>
      </w:r>
      <w:r w:rsidRPr="009A741C">
        <w:t xml:space="preserve">ion) ist der Kunde gegenüber seinen Kunden innerhalb der Lieferkette auskunftspflichtig bezüglich der Verwendung bestimmter Materialien, so genannter „Conflict Minerals“. </w:t>
      </w:r>
    </w:p>
    <w:p w:rsidR="002A4605" w:rsidRPr="009A741C" w:rsidRDefault="002A4605" w:rsidP="000053A2"/>
    <w:p w:rsidR="000B2C0A" w:rsidRPr="009A741C" w:rsidRDefault="002A4605" w:rsidP="000053A2">
      <w:r w:rsidRPr="009A741C">
        <w:t>Es geht dabei um die Mineralien Gold, Zinn, Tantal und Wo</w:t>
      </w:r>
      <w:r w:rsidR="00DF6535" w:rsidRPr="009A741C">
        <w:t>l</w:t>
      </w:r>
      <w:r w:rsidRPr="009A741C">
        <w:t xml:space="preserve">fram (und deren Derivate) in Verbindung mit deren Herkunft aus der Region Demokratische Republik Kongo. Sofern der Lieferant diese Mineralien </w:t>
      </w:r>
      <w:r w:rsidR="00BC7B39" w:rsidRPr="009A741C">
        <w:t>in Produkten für den Kunden verwendet</w:t>
      </w:r>
      <w:r w:rsidR="000B2C0A" w:rsidRPr="009A741C">
        <w:t>, ist er verpflichtet, jährlich eine entsprechende Kundenbefragung zu beantworten.</w:t>
      </w:r>
    </w:p>
    <w:p w:rsidR="000B2C0A" w:rsidRPr="009A741C" w:rsidRDefault="000B2C0A" w:rsidP="000053A2"/>
    <w:p w:rsidR="000B2C0A" w:rsidRPr="009A741C" w:rsidRDefault="000B2C0A" w:rsidP="000053A2">
      <w:r w:rsidRPr="009A741C">
        <w:t>Nähere Informationen sind bei der Organisation AIAG einzusehen (</w:t>
      </w:r>
      <w:hyperlink r:id="rId9" w:history="1">
        <w:r w:rsidR="00DF6535" w:rsidRPr="009A741C">
          <w:rPr>
            <w:rStyle w:val="Hyperlink"/>
            <w:color w:val="auto"/>
            <w:sz w:val="22"/>
          </w:rPr>
          <w:t>www.aiag.org</w:t>
        </w:r>
      </w:hyperlink>
      <w:r w:rsidR="00DF6535" w:rsidRPr="009A741C">
        <w:t>).</w:t>
      </w:r>
    </w:p>
    <w:p w:rsidR="00DF6535" w:rsidRPr="009A741C" w:rsidRDefault="008600F3" w:rsidP="00DF6535">
      <w:pPr>
        <w:pStyle w:val="berschrift2"/>
        <w:tabs>
          <w:tab w:val="clear" w:pos="360"/>
          <w:tab w:val="num" w:pos="720"/>
        </w:tabs>
      </w:pPr>
      <w:bookmarkStart w:id="153" w:name="_Toc507057559"/>
      <w:r w:rsidRPr="009A741C">
        <w:rPr>
          <w:lang w:val="de-DE"/>
        </w:rPr>
        <w:t>Verbotene</w:t>
      </w:r>
      <w:r w:rsidR="00DF6535" w:rsidRPr="009A741C">
        <w:rPr>
          <w:lang w:val="de-DE"/>
        </w:rPr>
        <w:t xml:space="preserve"> und deklarationspflichtige Stoff</w:t>
      </w:r>
      <w:r w:rsidR="00DF6535" w:rsidRPr="009A741C">
        <w:t>e</w:t>
      </w:r>
      <w:bookmarkEnd w:id="153"/>
    </w:p>
    <w:p w:rsidR="00DF6535" w:rsidRPr="00461670" w:rsidRDefault="00DF6535" w:rsidP="000053A2">
      <w:r w:rsidRPr="009A741C">
        <w:t xml:space="preserve">Für die an den Kunden gelieferten Produkte sind die Vorgaben gemäß kundenspezifischem Standard </w:t>
      </w:r>
      <w:r w:rsidRPr="009A741C">
        <w:rPr>
          <w:i/>
        </w:rPr>
        <w:t>S</w:t>
      </w:r>
      <w:r w:rsidR="008351D3">
        <w:rPr>
          <w:i/>
        </w:rPr>
        <w:t xml:space="preserve"> </w:t>
      </w:r>
      <w:r w:rsidRPr="009A741C">
        <w:rPr>
          <w:i/>
        </w:rPr>
        <w:t>132030-1 Verbotene und Deklarationspflichtige Stoffe</w:t>
      </w:r>
      <w:r w:rsidRPr="009A741C">
        <w:t xml:space="preserve"> einzuhalt</w:t>
      </w:r>
      <w:r w:rsidRPr="00461670">
        <w:t>en</w:t>
      </w:r>
      <w:r w:rsidR="00546566" w:rsidRPr="00461670">
        <w:t xml:space="preserve"> (siehe Anlage 5, </w:t>
      </w:r>
      <w:r w:rsidR="00546566" w:rsidRPr="00461670">
        <w:rPr>
          <w:i/>
          <w:iCs/>
        </w:rPr>
        <w:t>S</w:t>
      </w:r>
      <w:r w:rsidR="008351D3">
        <w:rPr>
          <w:i/>
          <w:iCs/>
        </w:rPr>
        <w:t xml:space="preserve"> </w:t>
      </w:r>
      <w:r w:rsidR="00546566" w:rsidRPr="00461670">
        <w:rPr>
          <w:i/>
          <w:iCs/>
        </w:rPr>
        <w:t>132030-1 Verbotene und Deklarationspflichtige Stoffe</w:t>
      </w:r>
      <w:r w:rsidR="00546566" w:rsidRPr="00461670">
        <w:rPr>
          <w:szCs w:val="22"/>
        </w:rPr>
        <w:t>)</w:t>
      </w:r>
      <w:r w:rsidRPr="00461670">
        <w:t>.</w:t>
      </w:r>
    </w:p>
    <w:p w:rsidR="00DF6535" w:rsidRPr="009A741C" w:rsidRDefault="00DF6535" w:rsidP="000053A2"/>
    <w:p w:rsidR="00DF6535" w:rsidRPr="009A741C" w:rsidRDefault="00DF6535" w:rsidP="000053A2">
      <w:r w:rsidRPr="009A741C">
        <w:t>Die Einhaltung dieser Vorgaben entbindet den Lieferanten nicht von</w:t>
      </w:r>
      <w:r w:rsidR="00D01AF2" w:rsidRPr="009A741C">
        <w:t xml:space="preserve"> der Verantwortung, darüber hin</w:t>
      </w:r>
      <w:r w:rsidRPr="009A741C">
        <w:t>a</w:t>
      </w:r>
      <w:r w:rsidR="00D01AF2" w:rsidRPr="009A741C">
        <w:t>u</w:t>
      </w:r>
      <w:r w:rsidRPr="009A741C">
        <w:t>s gehende, geltende Gesetze und Vorschriften zu beachten.</w:t>
      </w:r>
    </w:p>
    <w:p w:rsidR="001E6195" w:rsidRPr="009A741C" w:rsidRDefault="006F2B77" w:rsidP="00BE18A2">
      <w:pPr>
        <w:pStyle w:val="berschrift1"/>
      </w:pPr>
      <w:bookmarkStart w:id="154" w:name="_Toc213213514"/>
      <w:bookmarkStart w:id="155" w:name="_Toc213213516"/>
      <w:bookmarkStart w:id="156" w:name="_Toc213213517"/>
      <w:bookmarkStart w:id="157" w:name="_Toc213213518"/>
      <w:bookmarkStart w:id="158" w:name="_Toc148753435"/>
      <w:bookmarkStart w:id="159" w:name="_Toc507057560"/>
      <w:bookmarkEnd w:id="154"/>
      <w:bookmarkEnd w:id="155"/>
      <w:bookmarkEnd w:id="156"/>
      <w:bookmarkEnd w:id="157"/>
      <w:bookmarkEnd w:id="158"/>
      <w:r w:rsidRPr="009A741C">
        <w:t>Zusätzliche Anforderung für</w:t>
      </w:r>
      <w:r w:rsidR="000E37C5" w:rsidRPr="009A741C">
        <w:t xml:space="preserve"> Händler</w:t>
      </w:r>
      <w:bookmarkEnd w:id="159"/>
    </w:p>
    <w:p w:rsidR="001E6195" w:rsidRPr="009A741C" w:rsidRDefault="009108F1" w:rsidP="000C154C">
      <w:pPr>
        <w:pStyle w:val="berschrift2"/>
        <w:tabs>
          <w:tab w:val="clear" w:pos="360"/>
          <w:tab w:val="num" w:pos="720"/>
        </w:tabs>
        <w:rPr>
          <w:lang w:val="de-DE"/>
        </w:rPr>
      </w:pPr>
      <w:bookmarkStart w:id="160" w:name="_Toc507057561"/>
      <w:bookmarkStart w:id="161" w:name="OLE_LINK3"/>
      <w:bookmarkStart w:id="162" w:name="OLE_LINK4"/>
      <w:r w:rsidRPr="009A741C">
        <w:rPr>
          <w:lang w:val="de-DE"/>
        </w:rPr>
        <w:t>AS</w:t>
      </w:r>
      <w:r w:rsidR="00C05A75" w:rsidRPr="009A741C">
        <w:rPr>
          <w:lang w:val="de-DE"/>
        </w:rPr>
        <w:t xml:space="preserve"> </w:t>
      </w:r>
      <w:r w:rsidRPr="009A741C">
        <w:rPr>
          <w:lang w:val="de-DE"/>
        </w:rPr>
        <w:t xml:space="preserve">9120 </w:t>
      </w:r>
      <w:r w:rsidR="000E37C5" w:rsidRPr="009A741C">
        <w:rPr>
          <w:lang w:val="de-DE"/>
        </w:rPr>
        <w:t>Schulung</w:t>
      </w:r>
      <w:bookmarkEnd w:id="160"/>
    </w:p>
    <w:p w:rsidR="000E37C5" w:rsidRPr="009A741C" w:rsidRDefault="000E37C5" w:rsidP="000E37C5">
      <w:pPr>
        <w:widowControl w:val="0"/>
      </w:pPr>
      <w:r w:rsidRPr="009A741C">
        <w:t>Für Händler, die in dem Vertrieb von Produkten für Luftfahrt, Raumfahrt und Verteidigung tätig sind, gelten folgende zusätzliche Anforderungen nach AS9120:</w:t>
      </w:r>
    </w:p>
    <w:p w:rsidR="000213E2" w:rsidRPr="009A741C" w:rsidRDefault="005D0E36" w:rsidP="009A46C5">
      <w:pPr>
        <w:pStyle w:val="berschrift3"/>
      </w:pPr>
      <w:bookmarkStart w:id="163" w:name="_Toc505949959"/>
      <w:bookmarkStart w:id="164" w:name="_Toc506465106"/>
      <w:bookmarkStart w:id="165" w:name="_Toc507057562"/>
      <w:bookmarkEnd w:id="161"/>
      <w:bookmarkEnd w:id="162"/>
      <w:bookmarkEnd w:id="163"/>
      <w:bookmarkEnd w:id="164"/>
      <w:r w:rsidRPr="009A741C">
        <w:t>Authenti</w:t>
      </w:r>
      <w:r w:rsidR="000E37C5" w:rsidRPr="009A741C">
        <w:t>zitätsprüfung</w:t>
      </w:r>
      <w:bookmarkEnd w:id="165"/>
    </w:p>
    <w:p w:rsidR="007D51D3" w:rsidRPr="009A741C" w:rsidRDefault="0086423F" w:rsidP="008B2CFE">
      <w:pPr>
        <w:pStyle w:val="StandardBlock"/>
        <w:rPr>
          <w:lang w:val="de-DE"/>
        </w:rPr>
      </w:pPr>
      <w:r w:rsidRPr="00FF0C67">
        <w:rPr>
          <w:lang w:val="de-DE"/>
        </w:rPr>
        <w:t>Der Händler muss die Authentizität sämtlicher Vertriebsprodukte und dazugehörigen technischen Daten unmittelbar nach Erhalt überprüfen.</w:t>
      </w:r>
      <w:r w:rsidR="007D51D3" w:rsidRPr="00FF0C67">
        <w:rPr>
          <w:lang w:val="de-DE"/>
        </w:rPr>
        <w:t xml:space="preserve"> </w:t>
      </w:r>
      <w:r w:rsidRPr="00135454">
        <w:rPr>
          <w:lang w:val="de-DE"/>
        </w:rPr>
        <w:t>Falls die Authentizität der Produkte in Frage gestellt wird, müssen die betroffene</w:t>
      </w:r>
      <w:r w:rsidR="00850332" w:rsidRPr="009A741C">
        <w:rPr>
          <w:lang w:val="de-DE"/>
        </w:rPr>
        <w:t>n</w:t>
      </w:r>
      <w:r w:rsidRPr="00135454">
        <w:rPr>
          <w:lang w:val="de-DE"/>
        </w:rPr>
        <w:t xml:space="preserve"> Produkte </w:t>
      </w:r>
      <w:r w:rsidRPr="009A741C">
        <w:rPr>
          <w:lang w:val="de-DE"/>
        </w:rPr>
        <w:t>zurückgewiesen werden.</w:t>
      </w:r>
    </w:p>
    <w:p w:rsidR="00F5033E" w:rsidRPr="009A741C" w:rsidRDefault="004D047F" w:rsidP="009A46C5">
      <w:pPr>
        <w:pStyle w:val="berschrift3"/>
      </w:pPr>
      <w:bookmarkStart w:id="166" w:name="_Toc507057563"/>
      <w:r w:rsidRPr="009A741C">
        <w:t>Verdacht auf nicht genehmigte Produkte</w:t>
      </w:r>
      <w:bookmarkEnd w:id="166"/>
    </w:p>
    <w:p w:rsidR="00F5033E" w:rsidRPr="00FF0C67" w:rsidRDefault="00162AA2" w:rsidP="008B2CFE">
      <w:pPr>
        <w:pStyle w:val="StandardBlock"/>
        <w:rPr>
          <w:lang w:val="de-DE"/>
        </w:rPr>
      </w:pPr>
      <w:r w:rsidRPr="00FF0C67">
        <w:rPr>
          <w:lang w:val="de-DE"/>
        </w:rPr>
        <w:t>Alle mit Vertriebsaktivitäten Beschäftigten müssen auf mögliche nicht genehmigte Produkte achten</w:t>
      </w:r>
      <w:r w:rsidRPr="009A741C">
        <w:rPr>
          <w:lang w:val="de-DE"/>
        </w:rPr>
        <w:t xml:space="preserve">, </w:t>
      </w:r>
      <w:r w:rsidRPr="00FF0C67">
        <w:rPr>
          <w:lang w:val="de-DE"/>
        </w:rPr>
        <w:t>auf Verdacht hin dem Kunden sofort melden</w:t>
      </w:r>
      <w:r w:rsidRPr="009A741C">
        <w:rPr>
          <w:lang w:val="de-DE"/>
        </w:rPr>
        <w:t xml:space="preserve"> und de</w:t>
      </w:r>
      <w:r w:rsidR="00676EF5" w:rsidRPr="009A741C">
        <w:rPr>
          <w:lang w:val="de-DE"/>
        </w:rPr>
        <w:t>n</w:t>
      </w:r>
      <w:r w:rsidRPr="009A741C">
        <w:rPr>
          <w:lang w:val="de-DE"/>
        </w:rPr>
        <w:t xml:space="preserve"> Kunden </w:t>
      </w:r>
      <w:r w:rsidR="00F45B52" w:rsidRPr="00FF0C67">
        <w:rPr>
          <w:lang w:val="de-DE"/>
        </w:rPr>
        <w:t>dabei unterstützen, alle fehlerverdächtigen Produkte entsprechend den aufsichtsrechtlichen Vorgaben zu bestimmen und zu verfolgen.</w:t>
      </w:r>
    </w:p>
    <w:p w:rsidR="00F5033E" w:rsidRPr="009A741C" w:rsidRDefault="00783872" w:rsidP="009A46C5">
      <w:pPr>
        <w:pStyle w:val="berschrift3"/>
      </w:pPr>
      <w:bookmarkStart w:id="167" w:name="_Toc507057564"/>
      <w:r w:rsidRPr="009A741C">
        <w:t>Bestandskontrolle</w:t>
      </w:r>
      <w:bookmarkEnd w:id="167"/>
    </w:p>
    <w:p w:rsidR="00D12763" w:rsidRPr="00FF0C67" w:rsidRDefault="00783872" w:rsidP="008B2CFE">
      <w:pPr>
        <w:pStyle w:val="StandardBlock"/>
        <w:rPr>
          <w:b/>
          <w:sz w:val="24"/>
          <w:lang w:val="de-DE"/>
        </w:rPr>
      </w:pPr>
      <w:r w:rsidRPr="00FF0C67">
        <w:rPr>
          <w:lang w:val="de-DE"/>
        </w:rPr>
        <w:t>Der Händler muss eine strenge Bestandkontrolle nach dem Prinzip „First-In-First-Out“ durchführen</w:t>
      </w:r>
      <w:r w:rsidR="00F5033E" w:rsidRPr="00FF0C67">
        <w:rPr>
          <w:lang w:val="de-DE"/>
        </w:rPr>
        <w:t>.</w:t>
      </w:r>
      <w:bookmarkStart w:id="168" w:name="_Toc213213523"/>
      <w:bookmarkEnd w:id="168"/>
    </w:p>
    <w:p w:rsidR="00722825" w:rsidRPr="009A741C" w:rsidRDefault="00D76A3D" w:rsidP="006F2B77">
      <w:pPr>
        <w:pStyle w:val="berschrift1"/>
        <w:rPr>
          <w:snapToGrid w:val="0"/>
          <w:lang w:val="en-GB"/>
        </w:rPr>
      </w:pPr>
      <w:bookmarkStart w:id="169" w:name="_Toc507057565"/>
      <w:r w:rsidRPr="009A741C">
        <w:rPr>
          <w:lang w:val="en-GB"/>
        </w:rPr>
        <w:lastRenderedPageBreak/>
        <w:t>Laufz</w:t>
      </w:r>
      <w:r w:rsidR="00722825" w:rsidRPr="009A741C">
        <w:rPr>
          <w:lang w:val="en-GB"/>
        </w:rPr>
        <w:t>e</w:t>
      </w:r>
      <w:r w:rsidRPr="009A741C">
        <w:rPr>
          <w:lang w:val="en-GB"/>
        </w:rPr>
        <w:t>it</w:t>
      </w:r>
      <w:r w:rsidR="006F2B77" w:rsidRPr="009A741C">
        <w:rPr>
          <w:lang w:val="en-GB"/>
        </w:rPr>
        <w:t xml:space="preserve">, </w:t>
      </w:r>
      <w:r w:rsidR="006F2B77" w:rsidRPr="009A741C">
        <w:rPr>
          <w:snapToGrid w:val="0"/>
          <w:lang w:val="en-GB"/>
        </w:rPr>
        <w:t>Kündigung</w:t>
      </w:r>
      <w:bookmarkEnd w:id="169"/>
    </w:p>
    <w:p w:rsidR="006F2B77" w:rsidRPr="009A741C" w:rsidRDefault="00E70EF0" w:rsidP="006F2B77">
      <w:pPr>
        <w:jc w:val="both"/>
        <w:rPr>
          <w:szCs w:val="22"/>
        </w:rPr>
      </w:pPr>
      <w:r w:rsidRPr="009A741C">
        <w:rPr>
          <w:szCs w:val="22"/>
        </w:rPr>
        <w:t>Diese Qualitätssicherungsvereinbarung tritt mit Unterzeichnung durch beide Parteien in Kraft und ist auf unbestimmte Zeit abgeschlossen.</w:t>
      </w:r>
      <w:r w:rsidR="006F2B77" w:rsidRPr="009A741C">
        <w:rPr>
          <w:szCs w:val="22"/>
        </w:rPr>
        <w:t xml:space="preserve"> Sie findet auf die Geschäftsbeziehung der beiden Parteien Anwendung.</w:t>
      </w:r>
    </w:p>
    <w:p w:rsidR="006F2B77" w:rsidRPr="009A741C" w:rsidRDefault="006F2B77" w:rsidP="006F2B77">
      <w:pPr>
        <w:jc w:val="both"/>
        <w:rPr>
          <w:szCs w:val="22"/>
        </w:rPr>
      </w:pPr>
    </w:p>
    <w:p w:rsidR="006F2B77" w:rsidRPr="009A741C" w:rsidRDefault="006F2B77" w:rsidP="006F2B77">
      <w:pPr>
        <w:jc w:val="both"/>
        <w:rPr>
          <w:szCs w:val="22"/>
        </w:rPr>
      </w:pPr>
      <w:r w:rsidRPr="009A741C">
        <w:rPr>
          <w:szCs w:val="22"/>
        </w:rPr>
        <w:t>Diese Qualitätssicherungsvereinbarung kann von jeder Vertragspartei unter Einhaltung einer Frist von zwölf Monaten zum Monatsende schriftlich gekündigt werden.</w:t>
      </w:r>
    </w:p>
    <w:p w:rsidR="006F2B77" w:rsidRPr="009A741C" w:rsidRDefault="006F2B77" w:rsidP="006F2B77">
      <w:pPr>
        <w:jc w:val="both"/>
        <w:rPr>
          <w:szCs w:val="22"/>
        </w:rPr>
      </w:pPr>
    </w:p>
    <w:p w:rsidR="00722825" w:rsidRPr="009A741C" w:rsidRDefault="006F2B77" w:rsidP="006F2B77">
      <w:pPr>
        <w:jc w:val="both"/>
      </w:pPr>
      <w:r w:rsidRPr="009A741C">
        <w:rPr>
          <w:szCs w:val="22"/>
        </w:rPr>
        <w:t>Die Beendigung hat keine Auswirkung auf den Fortbestand der unter Geltung dieser Qualitätssicherungsvereinbarung zwischen den Parteien abgeschlossenen Verträge. Für diese gelten die Bedingungen dieser Vereinbarung fort.</w:t>
      </w:r>
    </w:p>
    <w:p w:rsidR="00722825" w:rsidRPr="009A741C" w:rsidRDefault="002C64AF" w:rsidP="009257B6">
      <w:pPr>
        <w:pStyle w:val="berschrift1"/>
        <w:rPr>
          <w:snapToGrid w:val="0"/>
          <w:lang w:val="en-GB"/>
        </w:rPr>
      </w:pPr>
      <w:bookmarkStart w:id="170" w:name="_Toc505949964"/>
      <w:bookmarkStart w:id="171" w:name="_Toc506465111"/>
      <w:bookmarkStart w:id="172" w:name="_Toc507057566"/>
      <w:bookmarkEnd w:id="170"/>
      <w:bookmarkEnd w:id="171"/>
      <w:r w:rsidRPr="009A741C">
        <w:rPr>
          <w:snapToGrid w:val="0"/>
          <w:lang w:val="en-GB"/>
        </w:rPr>
        <w:t>Allgemeines</w:t>
      </w:r>
      <w:bookmarkEnd w:id="172"/>
    </w:p>
    <w:p w:rsidR="007D36E5" w:rsidRPr="009A741C" w:rsidRDefault="007D36E5" w:rsidP="008B2CFE">
      <w:pPr>
        <w:pStyle w:val="AufzhlungmitPunkt"/>
        <w:ind w:left="360" w:hanging="360"/>
        <w:rPr>
          <w:color w:val="auto"/>
          <w:lang w:val="de-DE"/>
        </w:rPr>
      </w:pPr>
      <w:r w:rsidRPr="009A741C">
        <w:rPr>
          <w:color w:val="auto"/>
          <w:lang w:val="de-DE"/>
        </w:rPr>
        <w:t xml:space="preserve">Der </w:t>
      </w:r>
      <w:r w:rsidR="00D71150" w:rsidRPr="009A741C">
        <w:rPr>
          <w:color w:val="auto"/>
          <w:lang w:val="de-DE"/>
        </w:rPr>
        <w:t xml:space="preserve">Lieferant erkennt den Lieferantenkodex der Schaeffler Gruppe in der jeweils gültigen Fassung an, welche unter </w:t>
      </w:r>
      <w:hyperlink r:id="rId10" w:history="1">
        <w:r w:rsidR="00D71150" w:rsidRPr="009A741C">
          <w:rPr>
            <w:color w:val="auto"/>
            <w:lang w:val="de-DE"/>
          </w:rPr>
          <w:t>www.schaeffler.de</w:t>
        </w:r>
      </w:hyperlink>
      <w:r w:rsidR="00D71150" w:rsidRPr="009A741C">
        <w:rPr>
          <w:color w:val="auto"/>
          <w:lang w:val="de-DE"/>
        </w:rPr>
        <w:t xml:space="preserve"> unter der Rubrik Lieferanten, Unterrubrik Lieferantenkodex eingesehen werden kann oder dem Lieferanten auf Anforderung zugesandt wird, und versichert, dass er die dort aufgestellten Grundsätze verantwortlichen unternehmerischen Handels in seinem Unternehmen eingeführt und umgesetzt hat. Er hat die im Rahmen der vertraglichen Leistungen eingesetzten Unterlieferanten in gleicher Weise zu verpflichten.</w:t>
      </w:r>
    </w:p>
    <w:p w:rsidR="00D71150" w:rsidRPr="009A741C" w:rsidRDefault="00D71150" w:rsidP="008B2CFE">
      <w:pPr>
        <w:pStyle w:val="AufzhlungmitPunkt"/>
        <w:ind w:left="360" w:hanging="360"/>
        <w:rPr>
          <w:color w:val="auto"/>
          <w:lang w:val="de-DE"/>
        </w:rPr>
      </w:pPr>
      <w:r w:rsidRPr="009A741C">
        <w:rPr>
          <w:color w:val="auto"/>
          <w:lang w:val="de-DE"/>
        </w:rPr>
        <w:t>G</w:t>
      </w:r>
      <w:r w:rsidR="00133C40" w:rsidRPr="00FF0C67">
        <w:rPr>
          <w:color w:val="auto"/>
          <w:lang w:val="de-DE"/>
        </w:rPr>
        <w:t>e</w:t>
      </w:r>
      <w:r w:rsidRPr="009A741C">
        <w:rPr>
          <w:color w:val="auto"/>
          <w:lang w:val="de-DE"/>
        </w:rPr>
        <w:t>richtsstand und anwendbares Recht richten sich nach dazu in den jeweils zwischen den Parteien ausdrücklich vereinbarten Regelungen</w:t>
      </w:r>
      <w:r w:rsidR="00133C40" w:rsidRPr="009A741C">
        <w:rPr>
          <w:color w:val="auto"/>
          <w:lang w:val="de-DE"/>
        </w:rPr>
        <w:t>.</w:t>
      </w:r>
    </w:p>
    <w:p w:rsidR="00722825" w:rsidRPr="00FF0C67" w:rsidRDefault="00D71150" w:rsidP="00D71150">
      <w:pPr>
        <w:pStyle w:val="AufzhlungmitPunkt"/>
        <w:numPr>
          <w:ilvl w:val="0"/>
          <w:numId w:val="0"/>
        </w:numPr>
        <w:ind w:left="360"/>
        <w:rPr>
          <w:color w:val="auto"/>
          <w:lang w:val="de-DE"/>
        </w:rPr>
      </w:pPr>
      <w:r w:rsidRPr="009A741C">
        <w:rPr>
          <w:color w:val="auto"/>
          <w:lang w:val="de-DE"/>
        </w:rPr>
        <w:t>Soweit entsprechende ausdrückliche Regelungen nicht getroffen wurden findet das Recht des Landes des Gesellschaftssitzes der jeweils beteiligten Gesellschaft der Schaeffler Gruppe Anwendung. Gerichtsstand ist der Gesellschaftssitz der jeweiligen Gesellschaft der Schaeffler Gruppe, vorbehaltlich eines abweichenden ausschließlichen Gerichtsstands.</w:t>
      </w:r>
    </w:p>
    <w:p w:rsidR="00722825" w:rsidRPr="00FF0C67" w:rsidRDefault="00D71150" w:rsidP="00065EFC">
      <w:pPr>
        <w:pStyle w:val="AufzhlungmitPunkt"/>
        <w:ind w:left="360" w:hanging="360"/>
        <w:rPr>
          <w:color w:val="auto"/>
          <w:lang w:val="de-DE"/>
        </w:rPr>
      </w:pPr>
      <w:r w:rsidRPr="009A741C">
        <w:rPr>
          <w:color w:val="auto"/>
          <w:lang w:val="de-DE"/>
        </w:rPr>
        <w:t>Sollte eine Bestimmung unwirksam sein oder werden, so wird dadurch die Gültigkeit der sonstigen Bestimmungen nicht berührt</w:t>
      </w:r>
      <w:r w:rsidR="00722825" w:rsidRPr="00FF0C67">
        <w:rPr>
          <w:color w:val="auto"/>
          <w:lang w:val="de-DE"/>
        </w:rPr>
        <w:t>.</w:t>
      </w:r>
    </w:p>
    <w:p w:rsidR="00D068BD" w:rsidRPr="005C5DF4" w:rsidRDefault="00D71150" w:rsidP="008B2CFE">
      <w:pPr>
        <w:pStyle w:val="AufzhlungmitPunkt"/>
        <w:spacing w:after="60"/>
        <w:ind w:left="357" w:hanging="357"/>
        <w:rPr>
          <w:snapToGrid w:val="0"/>
          <w:color w:val="auto"/>
          <w:lang w:val="de-DE"/>
        </w:rPr>
      </w:pPr>
      <w:r w:rsidRPr="009A741C">
        <w:rPr>
          <w:color w:val="auto"/>
          <w:lang w:val="de-DE"/>
        </w:rPr>
        <w:t>Zu dieser QSV abweichende Vereinbarungen gelten nur, wenn sie schriftlich vereinbart wurden.</w:t>
      </w:r>
    </w:p>
    <w:p w:rsidR="00FB43C4" w:rsidRPr="00461670" w:rsidRDefault="00FB43C4" w:rsidP="008B2CFE">
      <w:pPr>
        <w:pStyle w:val="AufzhlungmitPunkt"/>
        <w:spacing w:after="60"/>
        <w:ind w:left="357" w:hanging="357"/>
        <w:rPr>
          <w:snapToGrid w:val="0"/>
          <w:color w:val="auto"/>
          <w:lang w:val="de-DE"/>
        </w:rPr>
      </w:pPr>
      <w:r w:rsidRPr="00461670">
        <w:rPr>
          <w:color w:val="auto"/>
          <w:lang w:val="de-DE"/>
        </w:rPr>
        <w:t xml:space="preserve">Sofern der Lieferant zusätzlich Produkte, Prozesse und Dienstleistungen an Schaeffler </w:t>
      </w:r>
      <w:r w:rsidR="005C5DF4" w:rsidRPr="00461670">
        <w:rPr>
          <w:color w:val="auto"/>
          <w:lang w:val="de-DE"/>
        </w:rPr>
        <w:t>außerhalb</w:t>
      </w:r>
      <w:r w:rsidRPr="00461670">
        <w:rPr>
          <w:color w:val="auto"/>
          <w:lang w:val="de-DE"/>
        </w:rPr>
        <w:t xml:space="preserve"> des Bereichs Aerospace liefert, wird der Abschluss der „QSV für Produktionsmateriallieferanten“ notwendig</w:t>
      </w:r>
      <w:r w:rsidR="005C5DF4" w:rsidRPr="00461670">
        <w:rPr>
          <w:color w:val="auto"/>
          <w:lang w:val="de-DE"/>
        </w:rPr>
        <w:t>.</w:t>
      </w:r>
    </w:p>
    <w:p w:rsidR="005506FE" w:rsidRPr="009A741C" w:rsidRDefault="005506FE" w:rsidP="005506FE">
      <w:pPr>
        <w:pStyle w:val="AufzhlungmitPunkt"/>
        <w:numPr>
          <w:ilvl w:val="0"/>
          <w:numId w:val="0"/>
        </w:numPr>
        <w:spacing w:after="60"/>
        <w:rPr>
          <w:color w:val="auto"/>
          <w:lang w:val="de-DE"/>
        </w:rPr>
      </w:pPr>
    </w:p>
    <w:p w:rsidR="00722825" w:rsidRPr="009A741C" w:rsidRDefault="00145946" w:rsidP="00CB5E8F">
      <w:pPr>
        <w:pStyle w:val="berschrift1"/>
        <w:rPr>
          <w:snapToGrid w:val="0"/>
        </w:rPr>
      </w:pPr>
      <w:bookmarkStart w:id="173" w:name="_Toc507057567"/>
      <w:r w:rsidRPr="009A741C">
        <w:rPr>
          <w:snapToGrid w:val="0"/>
        </w:rPr>
        <w:t>Anlagen</w:t>
      </w:r>
      <w:bookmarkEnd w:id="173"/>
    </w:p>
    <w:p w:rsidR="00E2105F" w:rsidRPr="009A741C" w:rsidRDefault="00E2105F" w:rsidP="0098522C">
      <w:pPr>
        <w:tabs>
          <w:tab w:val="clear" w:pos="2552"/>
          <w:tab w:val="clear" w:pos="4536"/>
          <w:tab w:val="left" w:pos="1418"/>
          <w:tab w:val="left" w:pos="2160"/>
          <w:tab w:val="left" w:pos="2268"/>
        </w:tabs>
        <w:jc w:val="both"/>
      </w:pPr>
      <w:r w:rsidRPr="009A741C">
        <w:t xml:space="preserve">Folgende Anlagen zur Qualitätssicherungsvereinbarung mit Produktionsmateriallieferanten (S296001) sind in der jeweils aktuellen Version Vertragsbestandteil der Qualitätssicherungsvereinbarung mit </w:t>
      </w:r>
      <w:r w:rsidR="00456D6A" w:rsidRPr="009A741C">
        <w:t>Aerospace-</w:t>
      </w:r>
      <w:r w:rsidRPr="009A741C">
        <w:t>Lieferanten (S 296004</w:t>
      </w:r>
      <w:r w:rsidR="00456D6A" w:rsidRPr="009A741C">
        <w:t>)</w:t>
      </w:r>
    </w:p>
    <w:p w:rsidR="003955EE" w:rsidRPr="00DB7286" w:rsidRDefault="0015228E" w:rsidP="0098522C">
      <w:pPr>
        <w:tabs>
          <w:tab w:val="clear" w:pos="2552"/>
          <w:tab w:val="clear" w:pos="4536"/>
          <w:tab w:val="left" w:pos="1418"/>
          <w:tab w:val="left" w:pos="2160"/>
          <w:tab w:val="left" w:pos="2268"/>
        </w:tabs>
        <w:jc w:val="both"/>
      </w:pPr>
      <w:r w:rsidRPr="009A741C">
        <w:t xml:space="preserve"> </w:t>
      </w:r>
      <w:r w:rsidR="0098522C" w:rsidRPr="00FF0C67">
        <w:t>(</w:t>
      </w:r>
      <w:r w:rsidR="00456D6A" w:rsidRPr="00DB7286">
        <w:t xml:space="preserve">Siehe </w:t>
      </w:r>
      <w:r w:rsidR="0098522C" w:rsidRPr="00DB7286">
        <w:t xml:space="preserve"> </w:t>
      </w:r>
      <w:r w:rsidR="0098522C" w:rsidRPr="00DB7286">
        <w:rPr>
          <w:i/>
        </w:rPr>
        <w:t>www.Schaeffler.</w:t>
      </w:r>
      <w:r w:rsidR="00FE33BD" w:rsidRPr="00DB7286">
        <w:rPr>
          <w:i/>
        </w:rPr>
        <w:t>de</w:t>
      </w:r>
      <w:r w:rsidR="0098522C" w:rsidRPr="00DB7286">
        <w:rPr>
          <w:i/>
        </w:rPr>
        <w:t xml:space="preserve"> /</w:t>
      </w:r>
      <w:r w:rsidR="009A03FF" w:rsidRPr="00DB7286">
        <w:rPr>
          <w:i/>
        </w:rPr>
        <w:t xml:space="preserve"> Unternehmen/</w:t>
      </w:r>
      <w:r w:rsidR="0098522C" w:rsidRPr="00DB7286">
        <w:rPr>
          <w:i/>
        </w:rPr>
        <w:t xml:space="preserve"> </w:t>
      </w:r>
      <w:r w:rsidR="000A1CF1" w:rsidRPr="00DB7286">
        <w:rPr>
          <w:i/>
        </w:rPr>
        <w:t>Lieferanten</w:t>
      </w:r>
      <w:r w:rsidR="009A03FF" w:rsidRPr="00DB7286">
        <w:rPr>
          <w:i/>
        </w:rPr>
        <w:t xml:space="preserve"> und Unterlieferanten</w:t>
      </w:r>
      <w:r w:rsidR="0098522C" w:rsidRPr="00DB7286">
        <w:rPr>
          <w:i/>
        </w:rPr>
        <w:t xml:space="preserve"> / </w:t>
      </w:r>
      <w:r w:rsidR="000A1CF1" w:rsidRPr="00DB7286">
        <w:rPr>
          <w:i/>
        </w:rPr>
        <w:t>Qualität</w:t>
      </w:r>
      <w:r w:rsidR="009A03FF" w:rsidRPr="00DB7286">
        <w:rPr>
          <w:i/>
        </w:rPr>
        <w:t>sanfor</w:t>
      </w:r>
      <w:r w:rsidR="00DB7286">
        <w:rPr>
          <w:i/>
        </w:rPr>
        <w:t>d</w:t>
      </w:r>
      <w:r w:rsidR="009A03FF" w:rsidRPr="00DB7286">
        <w:rPr>
          <w:i/>
        </w:rPr>
        <w:t>erungen</w:t>
      </w:r>
      <w:r w:rsidR="0098522C" w:rsidRPr="00DB7286">
        <w:t>)</w:t>
      </w:r>
      <w:r w:rsidR="003955EE" w:rsidRPr="00DB7286">
        <w:t>:</w:t>
      </w:r>
    </w:p>
    <w:p w:rsidR="003955EE" w:rsidRPr="00DB7286" w:rsidRDefault="00456D6A" w:rsidP="00817172">
      <w:pPr>
        <w:tabs>
          <w:tab w:val="clear" w:pos="2552"/>
          <w:tab w:val="clear" w:pos="4536"/>
          <w:tab w:val="left" w:pos="1418"/>
          <w:tab w:val="left" w:pos="2160"/>
        </w:tabs>
        <w:spacing w:before="60"/>
        <w:rPr>
          <w:i/>
        </w:rPr>
      </w:pPr>
      <w:r w:rsidRPr="00DB7286">
        <w:rPr>
          <w:iCs/>
        </w:rPr>
        <w:t xml:space="preserve">Anlage </w:t>
      </w:r>
      <w:r w:rsidR="003955EE" w:rsidRPr="00DB7286">
        <w:rPr>
          <w:iCs/>
        </w:rPr>
        <w:t>1</w:t>
      </w:r>
      <w:r w:rsidR="003955EE" w:rsidRPr="00DB7286">
        <w:rPr>
          <w:i/>
          <w:iCs/>
        </w:rPr>
        <w:tab/>
      </w:r>
      <w:r w:rsidR="002836A1" w:rsidRPr="00DB7286">
        <w:rPr>
          <w:i/>
          <w:iCs/>
        </w:rPr>
        <w:t xml:space="preserve">S 296001 </w:t>
      </w:r>
      <w:r w:rsidRPr="00DB7286">
        <w:rPr>
          <w:i/>
          <w:iCs/>
        </w:rPr>
        <w:t xml:space="preserve">Teil </w:t>
      </w:r>
      <w:r w:rsidR="002836A1" w:rsidRPr="00DB7286">
        <w:rPr>
          <w:i/>
          <w:iCs/>
        </w:rPr>
        <w:t xml:space="preserve">3 </w:t>
      </w:r>
      <w:r w:rsidRPr="00DB7286">
        <w:rPr>
          <w:i/>
          <w:iCs/>
        </w:rPr>
        <w:t>Änderungsgenehmigung / Sonderfreigabe</w:t>
      </w:r>
    </w:p>
    <w:p w:rsidR="003955EE" w:rsidRPr="00DB7286" w:rsidRDefault="00F30751" w:rsidP="003955EE">
      <w:pPr>
        <w:tabs>
          <w:tab w:val="clear" w:pos="2552"/>
          <w:tab w:val="clear" w:pos="4536"/>
          <w:tab w:val="left" w:pos="1418"/>
          <w:tab w:val="left" w:pos="2160"/>
        </w:tabs>
        <w:rPr>
          <w:i/>
        </w:rPr>
      </w:pPr>
      <w:r w:rsidRPr="00DB7286">
        <w:rPr>
          <w:iCs/>
        </w:rPr>
        <w:t xml:space="preserve">Anlage </w:t>
      </w:r>
      <w:r w:rsidR="003955EE" w:rsidRPr="00DB7286">
        <w:rPr>
          <w:iCs/>
        </w:rPr>
        <w:t>2</w:t>
      </w:r>
      <w:r w:rsidR="003955EE" w:rsidRPr="00DB7286">
        <w:rPr>
          <w:i/>
          <w:iCs/>
        </w:rPr>
        <w:tab/>
      </w:r>
      <w:r w:rsidR="002836A1" w:rsidRPr="00DB7286">
        <w:rPr>
          <w:i/>
          <w:iCs/>
        </w:rPr>
        <w:t xml:space="preserve">S 296001 </w:t>
      </w:r>
      <w:r w:rsidR="00456D6A" w:rsidRPr="00DB7286">
        <w:rPr>
          <w:i/>
          <w:iCs/>
        </w:rPr>
        <w:t>Teil</w:t>
      </w:r>
      <w:r w:rsidR="002836A1" w:rsidRPr="00DB7286">
        <w:rPr>
          <w:i/>
          <w:iCs/>
        </w:rPr>
        <w:t xml:space="preserve"> 4 </w:t>
      </w:r>
      <w:r w:rsidR="00456D6A" w:rsidRPr="00DB7286">
        <w:rPr>
          <w:i/>
          <w:iCs/>
        </w:rPr>
        <w:t>Reklamationsbearbeitung</w:t>
      </w:r>
    </w:p>
    <w:p w:rsidR="003955EE" w:rsidRPr="009A03FF" w:rsidRDefault="00F30751" w:rsidP="003955EE">
      <w:pPr>
        <w:tabs>
          <w:tab w:val="clear" w:pos="2552"/>
          <w:tab w:val="clear" w:pos="4536"/>
          <w:tab w:val="left" w:pos="1418"/>
          <w:tab w:val="left" w:pos="2160"/>
        </w:tabs>
        <w:rPr>
          <w:i/>
          <w:iCs/>
          <w:strike/>
        </w:rPr>
      </w:pPr>
      <w:r w:rsidRPr="00DB7286">
        <w:rPr>
          <w:iCs/>
        </w:rPr>
        <w:t>Anlage</w:t>
      </w:r>
      <w:r w:rsidR="003955EE" w:rsidRPr="00DB7286">
        <w:rPr>
          <w:iCs/>
        </w:rPr>
        <w:t xml:space="preserve"> 3</w:t>
      </w:r>
      <w:r w:rsidR="003955EE" w:rsidRPr="00DB7286">
        <w:rPr>
          <w:i/>
          <w:iCs/>
        </w:rPr>
        <w:tab/>
      </w:r>
      <w:r w:rsidR="009A03FF" w:rsidRPr="00DB7286">
        <w:rPr>
          <w:i/>
        </w:rPr>
        <w:t>Lieferantenbewertung Einleitung und Berechnung</w:t>
      </w:r>
      <w:r w:rsidR="009A03FF" w:rsidRPr="00DB7286">
        <w:t xml:space="preserve"> </w:t>
      </w:r>
    </w:p>
    <w:p w:rsidR="00D945C2" w:rsidRPr="00FF0C67" w:rsidRDefault="003955EE" w:rsidP="003955EE">
      <w:pPr>
        <w:tabs>
          <w:tab w:val="clear" w:pos="2552"/>
          <w:tab w:val="clear" w:pos="4536"/>
          <w:tab w:val="left" w:pos="1418"/>
          <w:tab w:val="left" w:pos="2160"/>
        </w:tabs>
        <w:rPr>
          <w:i/>
          <w:iCs/>
        </w:rPr>
      </w:pPr>
      <w:r w:rsidRPr="00FF0C67">
        <w:rPr>
          <w:iCs/>
        </w:rPr>
        <w:t>A</w:t>
      </w:r>
      <w:r w:rsidR="00F30751" w:rsidRPr="00FF0C67">
        <w:rPr>
          <w:iCs/>
        </w:rPr>
        <w:t>nlage</w:t>
      </w:r>
      <w:r w:rsidRPr="00FF0C67">
        <w:rPr>
          <w:iCs/>
        </w:rPr>
        <w:t xml:space="preserve"> 4</w:t>
      </w:r>
      <w:r w:rsidRPr="00FF0C67">
        <w:rPr>
          <w:i/>
          <w:iCs/>
        </w:rPr>
        <w:tab/>
      </w:r>
      <w:r w:rsidR="002836A1" w:rsidRPr="00FF0C67">
        <w:rPr>
          <w:i/>
          <w:iCs/>
        </w:rPr>
        <w:t xml:space="preserve">S 296001 </w:t>
      </w:r>
      <w:r w:rsidR="00456D6A" w:rsidRPr="00FF0C67">
        <w:rPr>
          <w:i/>
          <w:iCs/>
        </w:rPr>
        <w:t>Teil</w:t>
      </w:r>
      <w:r w:rsidR="002836A1" w:rsidRPr="00FF0C67">
        <w:rPr>
          <w:i/>
          <w:iCs/>
        </w:rPr>
        <w:t xml:space="preserve"> 6 Es</w:t>
      </w:r>
      <w:r w:rsidR="00456D6A" w:rsidRPr="00FF0C67">
        <w:rPr>
          <w:i/>
          <w:iCs/>
        </w:rPr>
        <w:t>k</w:t>
      </w:r>
      <w:r w:rsidR="002836A1" w:rsidRPr="00FF0C67">
        <w:rPr>
          <w:i/>
          <w:iCs/>
        </w:rPr>
        <w:t>alation</w:t>
      </w:r>
      <w:r w:rsidR="00456D6A" w:rsidRPr="00FF0C67">
        <w:rPr>
          <w:i/>
          <w:iCs/>
        </w:rPr>
        <w:t>sp</w:t>
      </w:r>
      <w:r w:rsidR="002836A1" w:rsidRPr="00FF0C67">
        <w:rPr>
          <w:i/>
          <w:iCs/>
        </w:rPr>
        <w:t>ro</w:t>
      </w:r>
      <w:r w:rsidR="00456D6A" w:rsidRPr="00FF0C67">
        <w:rPr>
          <w:i/>
          <w:iCs/>
        </w:rPr>
        <w:t>z</w:t>
      </w:r>
      <w:r w:rsidR="002836A1" w:rsidRPr="00FF0C67">
        <w:rPr>
          <w:i/>
          <w:iCs/>
        </w:rPr>
        <w:t>ess</w:t>
      </w:r>
    </w:p>
    <w:p w:rsidR="00F30751" w:rsidRPr="009A741C" w:rsidRDefault="00F30751" w:rsidP="003955EE">
      <w:pPr>
        <w:tabs>
          <w:tab w:val="clear" w:pos="2552"/>
          <w:tab w:val="clear" w:pos="4536"/>
          <w:tab w:val="left" w:pos="1418"/>
          <w:tab w:val="left" w:pos="2160"/>
        </w:tabs>
        <w:rPr>
          <w:i/>
          <w:iCs/>
        </w:rPr>
      </w:pPr>
      <w:r w:rsidRPr="009A741C">
        <w:rPr>
          <w:iCs/>
        </w:rPr>
        <w:t>Anlage 5</w:t>
      </w:r>
      <w:r w:rsidRPr="009A741C">
        <w:rPr>
          <w:i/>
          <w:iCs/>
        </w:rPr>
        <w:tab/>
        <w:t>S132030-1 Verbotene und Deklarationspflichtige Stoffe</w:t>
      </w:r>
    </w:p>
    <w:p w:rsidR="00D945C2" w:rsidRPr="00F30751" w:rsidRDefault="00D945C2" w:rsidP="00D945C2">
      <w:pPr>
        <w:pStyle w:val="StandardBlock"/>
        <w:rPr>
          <w:lang w:val="de-DE"/>
        </w:rPr>
      </w:pPr>
      <w:r w:rsidRPr="00F30751">
        <w:rPr>
          <w:i/>
          <w:iCs/>
          <w:lang w:val="de-DE"/>
        </w:rPr>
        <w:br w:type="page"/>
      </w:r>
    </w:p>
    <w:tbl>
      <w:tblPr>
        <w:tblW w:w="4763" w:type="pct"/>
        <w:tblInd w:w="108" w:type="dxa"/>
        <w:tblLayout w:type="fixed"/>
        <w:tblLook w:val="01E0" w:firstRow="1" w:lastRow="1" w:firstColumn="1" w:lastColumn="1" w:noHBand="0" w:noVBand="0"/>
      </w:tblPr>
      <w:tblGrid>
        <w:gridCol w:w="1941"/>
        <w:gridCol w:w="236"/>
        <w:gridCol w:w="2225"/>
        <w:gridCol w:w="512"/>
        <w:gridCol w:w="1987"/>
        <w:gridCol w:w="236"/>
        <w:gridCol w:w="2222"/>
      </w:tblGrid>
      <w:tr w:rsidR="00D945C2" w:rsidRPr="00C54AE7" w:rsidDel="00580FCB" w:rsidTr="00010823">
        <w:trPr>
          <w:trHeight w:val="230"/>
        </w:trPr>
        <w:tc>
          <w:tcPr>
            <w:tcW w:w="4402" w:type="dxa"/>
            <w:gridSpan w:val="3"/>
            <w:shd w:val="clear" w:color="auto" w:fill="auto"/>
          </w:tcPr>
          <w:p w:rsidR="00D945C2" w:rsidRPr="00C54AE7" w:rsidDel="00580FCB" w:rsidRDefault="00D945C2" w:rsidP="00EE598D">
            <w:pPr>
              <w:pStyle w:val="StandardBlock"/>
              <w:spacing w:before="0" w:after="120"/>
              <w:ind w:left="-113"/>
              <w:jc w:val="left"/>
              <w:rPr>
                <w:b/>
                <w:szCs w:val="22"/>
              </w:rPr>
            </w:pPr>
            <w:r w:rsidRPr="00C54AE7">
              <w:rPr>
                <w:b/>
                <w:szCs w:val="22"/>
              </w:rPr>
              <w:t>Lieferant</w:t>
            </w:r>
          </w:p>
        </w:tc>
        <w:tc>
          <w:tcPr>
            <w:tcW w:w="512" w:type="dxa"/>
            <w:shd w:val="clear" w:color="auto" w:fill="auto"/>
          </w:tcPr>
          <w:p w:rsidR="00D945C2" w:rsidRPr="00C54AE7" w:rsidDel="00580FCB" w:rsidRDefault="00D945C2" w:rsidP="00EE598D">
            <w:pPr>
              <w:pStyle w:val="StandardBlock"/>
              <w:spacing w:before="0" w:after="120"/>
              <w:jc w:val="left"/>
              <w:rPr>
                <w:b/>
                <w:szCs w:val="22"/>
              </w:rPr>
            </w:pPr>
          </w:p>
        </w:tc>
        <w:tc>
          <w:tcPr>
            <w:tcW w:w="4445" w:type="dxa"/>
            <w:gridSpan w:val="3"/>
            <w:shd w:val="clear" w:color="auto" w:fill="auto"/>
          </w:tcPr>
          <w:p w:rsidR="00D945C2" w:rsidRPr="00C54AE7" w:rsidDel="00E96AFF" w:rsidRDefault="00D945C2" w:rsidP="00EE598D">
            <w:pPr>
              <w:pStyle w:val="StandardBlock"/>
              <w:spacing w:before="0" w:after="120"/>
              <w:ind w:left="-113"/>
              <w:jc w:val="left"/>
              <w:rPr>
                <w:b/>
                <w:szCs w:val="22"/>
              </w:rPr>
            </w:pPr>
            <w:r w:rsidRPr="00C54AE7">
              <w:rPr>
                <w:b/>
                <w:szCs w:val="22"/>
              </w:rPr>
              <w:t>Kunde</w:t>
            </w:r>
          </w:p>
        </w:tc>
      </w:tr>
      <w:tr w:rsidR="00D945C2" w:rsidRPr="00C54AE7" w:rsidDel="00580FCB" w:rsidTr="00010823">
        <w:trPr>
          <w:trHeight w:val="230"/>
        </w:trPr>
        <w:tc>
          <w:tcPr>
            <w:tcW w:w="4402" w:type="dxa"/>
            <w:gridSpan w:val="3"/>
            <w:shd w:val="clear" w:color="auto" w:fill="auto"/>
          </w:tcPr>
          <w:p w:rsidR="00D945C2" w:rsidRPr="00C54AE7" w:rsidDel="00580FCB" w:rsidRDefault="00D945C2" w:rsidP="00EE598D">
            <w:pPr>
              <w:pStyle w:val="StandardBlock"/>
              <w:spacing w:before="0" w:after="120"/>
              <w:ind w:left="-113"/>
              <w:jc w:val="left"/>
              <w:rPr>
                <w:szCs w:val="22"/>
              </w:rPr>
            </w:pPr>
          </w:p>
        </w:tc>
        <w:tc>
          <w:tcPr>
            <w:tcW w:w="512" w:type="dxa"/>
            <w:shd w:val="clear" w:color="auto" w:fill="auto"/>
          </w:tcPr>
          <w:p w:rsidR="00D945C2" w:rsidRPr="00C54AE7" w:rsidDel="00580FCB" w:rsidRDefault="00D945C2" w:rsidP="00EE598D">
            <w:pPr>
              <w:pStyle w:val="StandardBlock"/>
              <w:spacing w:before="0" w:after="120"/>
              <w:jc w:val="left"/>
              <w:rPr>
                <w:szCs w:val="22"/>
              </w:rPr>
            </w:pPr>
          </w:p>
        </w:tc>
        <w:tc>
          <w:tcPr>
            <w:tcW w:w="4445" w:type="dxa"/>
            <w:gridSpan w:val="3"/>
            <w:shd w:val="clear" w:color="auto" w:fill="auto"/>
          </w:tcPr>
          <w:p w:rsidR="00D945C2" w:rsidRPr="00C54AE7" w:rsidDel="00E96AFF" w:rsidRDefault="00D945C2" w:rsidP="00EE598D">
            <w:pPr>
              <w:pStyle w:val="StandardBlock"/>
              <w:spacing w:before="0" w:after="120"/>
              <w:ind w:left="-113"/>
              <w:jc w:val="left"/>
              <w:rPr>
                <w:szCs w:val="22"/>
              </w:rPr>
            </w:pPr>
          </w:p>
        </w:tc>
      </w:tr>
      <w:tr w:rsidR="00D945C2" w:rsidRPr="00C54AE7" w:rsidDel="00580FCB" w:rsidTr="00010823">
        <w:trPr>
          <w:trHeight w:val="230"/>
        </w:trPr>
        <w:tc>
          <w:tcPr>
            <w:tcW w:w="4402" w:type="dxa"/>
            <w:gridSpan w:val="3"/>
            <w:shd w:val="clear" w:color="auto" w:fill="auto"/>
          </w:tcPr>
          <w:p w:rsidR="00D945C2" w:rsidRPr="00C54AE7" w:rsidDel="00580FCB" w:rsidRDefault="00364982" w:rsidP="00EE598D">
            <w:pPr>
              <w:pStyle w:val="StandardBlock"/>
              <w:spacing w:before="0" w:after="120"/>
              <w:ind w:left="-113"/>
              <w:jc w:val="left"/>
              <w:rPr>
                <w:szCs w:val="22"/>
              </w:rPr>
            </w:pPr>
            <w:r w:rsidRPr="00C54AE7">
              <w:rPr>
                <w:szCs w:val="22"/>
              </w:rPr>
              <w:fldChar w:fldCharType="begin">
                <w:ffData>
                  <w:name w:val=""/>
                  <w:enabled/>
                  <w:calcOnExit w:val="0"/>
                  <w:textInput/>
                </w:ffData>
              </w:fldChar>
            </w:r>
            <w:r w:rsidRPr="00C54AE7">
              <w:rPr>
                <w:szCs w:val="22"/>
              </w:rPr>
              <w:instrText xml:space="preserve"> FORMTEXT </w:instrText>
            </w:r>
            <w:r w:rsidRPr="00C54AE7">
              <w:rPr>
                <w:szCs w:val="22"/>
              </w:rPr>
            </w:r>
            <w:r w:rsidRPr="00C54AE7">
              <w:rPr>
                <w:szCs w:val="22"/>
              </w:rPr>
              <w:fldChar w:fldCharType="separate"/>
            </w:r>
            <w:r w:rsidRPr="00C54AE7">
              <w:rPr>
                <w:szCs w:val="22"/>
              </w:rPr>
              <w:t> </w:t>
            </w:r>
            <w:r w:rsidRPr="00C54AE7">
              <w:rPr>
                <w:szCs w:val="22"/>
              </w:rPr>
              <w:t> </w:t>
            </w:r>
            <w:r w:rsidRPr="00C54AE7">
              <w:rPr>
                <w:szCs w:val="22"/>
              </w:rPr>
              <w:t> </w:t>
            </w:r>
            <w:r w:rsidRPr="00C54AE7">
              <w:rPr>
                <w:szCs w:val="22"/>
              </w:rPr>
              <w:t> </w:t>
            </w:r>
            <w:r w:rsidRPr="00C54AE7">
              <w:rPr>
                <w:szCs w:val="22"/>
              </w:rPr>
              <w:t> </w:t>
            </w:r>
            <w:r w:rsidRPr="00C54AE7">
              <w:rPr>
                <w:szCs w:val="22"/>
              </w:rPr>
              <w:fldChar w:fldCharType="end"/>
            </w:r>
          </w:p>
        </w:tc>
        <w:tc>
          <w:tcPr>
            <w:tcW w:w="512" w:type="dxa"/>
            <w:shd w:val="clear" w:color="auto" w:fill="auto"/>
          </w:tcPr>
          <w:p w:rsidR="00D945C2" w:rsidRPr="00C54AE7" w:rsidDel="00580FCB" w:rsidRDefault="00D945C2" w:rsidP="00EE598D">
            <w:pPr>
              <w:pStyle w:val="StandardBlock"/>
              <w:spacing w:before="0" w:after="120"/>
              <w:jc w:val="left"/>
              <w:rPr>
                <w:szCs w:val="22"/>
              </w:rPr>
            </w:pPr>
          </w:p>
        </w:tc>
        <w:tc>
          <w:tcPr>
            <w:tcW w:w="4445" w:type="dxa"/>
            <w:gridSpan w:val="3"/>
            <w:shd w:val="clear" w:color="auto" w:fill="auto"/>
          </w:tcPr>
          <w:p w:rsidR="00D945C2" w:rsidRPr="00C54AE7" w:rsidDel="00E96AFF" w:rsidRDefault="00364982" w:rsidP="00EE598D">
            <w:pPr>
              <w:pStyle w:val="StandardBlock"/>
              <w:spacing w:before="0" w:after="120"/>
              <w:ind w:left="-113"/>
              <w:jc w:val="left"/>
              <w:rPr>
                <w:szCs w:val="22"/>
              </w:rPr>
            </w:pPr>
            <w:r w:rsidRPr="00C54AE7">
              <w:rPr>
                <w:szCs w:val="22"/>
              </w:rPr>
              <w:fldChar w:fldCharType="begin">
                <w:ffData>
                  <w:name w:val=""/>
                  <w:enabled/>
                  <w:calcOnExit w:val="0"/>
                  <w:textInput/>
                </w:ffData>
              </w:fldChar>
            </w:r>
            <w:r w:rsidRPr="00C54AE7">
              <w:rPr>
                <w:szCs w:val="22"/>
              </w:rPr>
              <w:instrText xml:space="preserve"> FORMTEXT </w:instrText>
            </w:r>
            <w:r w:rsidRPr="00C54AE7">
              <w:rPr>
                <w:szCs w:val="22"/>
              </w:rPr>
            </w:r>
            <w:r w:rsidRPr="00C54AE7">
              <w:rPr>
                <w:szCs w:val="22"/>
              </w:rPr>
              <w:fldChar w:fldCharType="separate"/>
            </w:r>
            <w:r w:rsidRPr="00C54AE7">
              <w:rPr>
                <w:szCs w:val="22"/>
              </w:rPr>
              <w:t> </w:t>
            </w:r>
            <w:r w:rsidRPr="00C54AE7">
              <w:rPr>
                <w:szCs w:val="22"/>
              </w:rPr>
              <w:t> </w:t>
            </w:r>
            <w:r w:rsidRPr="00C54AE7">
              <w:rPr>
                <w:szCs w:val="22"/>
              </w:rPr>
              <w:t> </w:t>
            </w:r>
            <w:r w:rsidRPr="00C54AE7">
              <w:rPr>
                <w:szCs w:val="22"/>
              </w:rPr>
              <w:t> </w:t>
            </w:r>
            <w:r w:rsidRPr="00C54AE7">
              <w:rPr>
                <w:szCs w:val="22"/>
              </w:rPr>
              <w:t> </w:t>
            </w:r>
            <w:r w:rsidRPr="00C54AE7">
              <w:rPr>
                <w:szCs w:val="22"/>
              </w:rPr>
              <w:fldChar w:fldCharType="end"/>
            </w:r>
          </w:p>
        </w:tc>
      </w:tr>
      <w:tr w:rsidR="00D945C2" w:rsidRPr="00C54AE7" w:rsidDel="00580FCB" w:rsidTr="00010823">
        <w:trPr>
          <w:trHeight w:val="230"/>
        </w:trPr>
        <w:tc>
          <w:tcPr>
            <w:tcW w:w="4402" w:type="dxa"/>
            <w:gridSpan w:val="3"/>
            <w:shd w:val="clear" w:color="auto" w:fill="auto"/>
          </w:tcPr>
          <w:p w:rsidR="00D945C2" w:rsidRPr="00C54AE7" w:rsidDel="00580FCB" w:rsidRDefault="00D945C2" w:rsidP="00EE598D">
            <w:pPr>
              <w:pStyle w:val="StandardBlock"/>
              <w:spacing w:before="0" w:after="120"/>
              <w:ind w:left="-113"/>
              <w:jc w:val="left"/>
              <w:rPr>
                <w:szCs w:val="22"/>
              </w:rPr>
            </w:pPr>
          </w:p>
        </w:tc>
        <w:tc>
          <w:tcPr>
            <w:tcW w:w="512" w:type="dxa"/>
            <w:shd w:val="clear" w:color="auto" w:fill="auto"/>
          </w:tcPr>
          <w:p w:rsidR="00D945C2" w:rsidRPr="00C54AE7" w:rsidDel="00580FCB" w:rsidRDefault="00D945C2" w:rsidP="00EE598D">
            <w:pPr>
              <w:pStyle w:val="StandardBlock"/>
              <w:spacing w:before="0" w:after="120"/>
              <w:jc w:val="left"/>
              <w:rPr>
                <w:szCs w:val="22"/>
              </w:rPr>
            </w:pPr>
          </w:p>
        </w:tc>
        <w:tc>
          <w:tcPr>
            <w:tcW w:w="4445" w:type="dxa"/>
            <w:gridSpan w:val="3"/>
            <w:shd w:val="clear" w:color="auto" w:fill="auto"/>
          </w:tcPr>
          <w:p w:rsidR="00D945C2" w:rsidRPr="00C54AE7" w:rsidDel="00E96AFF" w:rsidRDefault="00D945C2" w:rsidP="00364982">
            <w:pPr>
              <w:pStyle w:val="StandardBlock"/>
              <w:spacing w:before="0" w:after="120"/>
              <w:jc w:val="left"/>
              <w:rPr>
                <w:szCs w:val="22"/>
              </w:rPr>
            </w:pPr>
          </w:p>
        </w:tc>
      </w:tr>
      <w:tr w:rsidR="00D945C2" w:rsidRPr="00C54AE7" w:rsidDel="00580FCB" w:rsidTr="00010823">
        <w:trPr>
          <w:trHeight w:val="230"/>
        </w:trPr>
        <w:tc>
          <w:tcPr>
            <w:tcW w:w="4402" w:type="dxa"/>
            <w:gridSpan w:val="3"/>
            <w:shd w:val="clear" w:color="auto" w:fill="auto"/>
          </w:tcPr>
          <w:p w:rsidR="00D945C2" w:rsidRPr="00C54AE7" w:rsidDel="00580FCB" w:rsidRDefault="00D945C2" w:rsidP="00EE598D">
            <w:pPr>
              <w:pStyle w:val="StandardBlock"/>
              <w:spacing w:before="0" w:after="120"/>
              <w:ind w:left="-113"/>
              <w:jc w:val="left"/>
              <w:rPr>
                <w:szCs w:val="22"/>
              </w:rPr>
            </w:pPr>
          </w:p>
        </w:tc>
        <w:tc>
          <w:tcPr>
            <w:tcW w:w="512" w:type="dxa"/>
            <w:shd w:val="clear" w:color="auto" w:fill="auto"/>
          </w:tcPr>
          <w:p w:rsidR="00D945C2" w:rsidRPr="00C54AE7" w:rsidDel="00580FCB" w:rsidRDefault="00D945C2" w:rsidP="00EE598D">
            <w:pPr>
              <w:pStyle w:val="StandardBlock"/>
              <w:spacing w:before="0" w:after="120"/>
              <w:jc w:val="left"/>
              <w:rPr>
                <w:szCs w:val="22"/>
              </w:rPr>
            </w:pPr>
          </w:p>
        </w:tc>
        <w:tc>
          <w:tcPr>
            <w:tcW w:w="4445" w:type="dxa"/>
            <w:gridSpan w:val="3"/>
            <w:shd w:val="clear" w:color="auto" w:fill="auto"/>
          </w:tcPr>
          <w:p w:rsidR="00D945C2" w:rsidRPr="00C54AE7" w:rsidDel="00E96AFF" w:rsidRDefault="00D945C2" w:rsidP="00EE598D">
            <w:pPr>
              <w:pStyle w:val="StandardBlock"/>
              <w:spacing w:before="0" w:after="120"/>
              <w:ind w:left="-113"/>
              <w:jc w:val="left"/>
              <w:rPr>
                <w:szCs w:val="22"/>
              </w:rPr>
            </w:pPr>
          </w:p>
        </w:tc>
      </w:tr>
      <w:tr w:rsidR="00D945C2" w:rsidRPr="00C54AE7" w:rsidDel="00580FCB" w:rsidTr="00010823">
        <w:trPr>
          <w:trHeight w:val="230"/>
        </w:trPr>
        <w:tc>
          <w:tcPr>
            <w:tcW w:w="4402" w:type="dxa"/>
            <w:gridSpan w:val="3"/>
            <w:shd w:val="clear" w:color="auto" w:fill="auto"/>
          </w:tcPr>
          <w:p w:rsidR="00D945C2" w:rsidRPr="00C54AE7" w:rsidDel="00580FCB" w:rsidRDefault="00D945C2" w:rsidP="00EE598D">
            <w:pPr>
              <w:pStyle w:val="StandardBlock"/>
              <w:spacing w:before="0" w:after="120"/>
              <w:ind w:left="-113"/>
              <w:jc w:val="left"/>
              <w:rPr>
                <w:sz w:val="18"/>
                <w:szCs w:val="18"/>
              </w:rPr>
            </w:pPr>
            <w:r w:rsidRPr="00C54AE7">
              <w:rPr>
                <w:sz w:val="18"/>
                <w:szCs w:val="18"/>
              </w:rPr>
              <w:t>Schaeffler Lieferantennr.</w:t>
            </w:r>
            <w:r w:rsidR="006E0A3D" w:rsidRPr="00C54AE7">
              <w:rPr>
                <w:szCs w:val="22"/>
              </w:rPr>
              <w:t xml:space="preserve"> </w:t>
            </w:r>
            <w:r w:rsidR="006E0A3D" w:rsidRPr="00C54AE7">
              <w:rPr>
                <w:szCs w:val="22"/>
              </w:rPr>
              <w:fldChar w:fldCharType="begin">
                <w:ffData>
                  <w:name w:val=""/>
                  <w:enabled/>
                  <w:calcOnExit w:val="0"/>
                  <w:textInput/>
                </w:ffData>
              </w:fldChar>
            </w:r>
            <w:r w:rsidR="006E0A3D" w:rsidRPr="00C54AE7">
              <w:rPr>
                <w:szCs w:val="22"/>
              </w:rPr>
              <w:instrText xml:space="preserve"> FORMTEXT </w:instrText>
            </w:r>
            <w:r w:rsidR="006E0A3D" w:rsidRPr="00C54AE7">
              <w:rPr>
                <w:szCs w:val="22"/>
              </w:rPr>
            </w:r>
            <w:r w:rsidR="006E0A3D" w:rsidRPr="00C54AE7">
              <w:rPr>
                <w:szCs w:val="22"/>
              </w:rPr>
              <w:fldChar w:fldCharType="separate"/>
            </w:r>
            <w:r w:rsidR="006E0A3D" w:rsidRPr="00C54AE7">
              <w:rPr>
                <w:szCs w:val="22"/>
              </w:rPr>
              <w:t> </w:t>
            </w:r>
            <w:r w:rsidR="006E0A3D" w:rsidRPr="00C54AE7">
              <w:rPr>
                <w:szCs w:val="22"/>
              </w:rPr>
              <w:t> </w:t>
            </w:r>
            <w:r w:rsidR="006E0A3D" w:rsidRPr="00C54AE7">
              <w:rPr>
                <w:szCs w:val="22"/>
              </w:rPr>
              <w:t> </w:t>
            </w:r>
            <w:r w:rsidR="006E0A3D" w:rsidRPr="00C54AE7">
              <w:rPr>
                <w:szCs w:val="22"/>
              </w:rPr>
              <w:t> </w:t>
            </w:r>
            <w:r w:rsidR="006E0A3D" w:rsidRPr="00C54AE7">
              <w:rPr>
                <w:szCs w:val="22"/>
              </w:rPr>
              <w:t> </w:t>
            </w:r>
            <w:r w:rsidR="006E0A3D" w:rsidRPr="00C54AE7">
              <w:rPr>
                <w:szCs w:val="22"/>
              </w:rPr>
              <w:fldChar w:fldCharType="end"/>
            </w:r>
          </w:p>
        </w:tc>
        <w:tc>
          <w:tcPr>
            <w:tcW w:w="512" w:type="dxa"/>
            <w:shd w:val="clear" w:color="auto" w:fill="auto"/>
          </w:tcPr>
          <w:p w:rsidR="00D945C2" w:rsidRPr="00C54AE7" w:rsidDel="00580FCB" w:rsidRDefault="00D945C2" w:rsidP="00EE598D">
            <w:pPr>
              <w:pStyle w:val="StandardBlock"/>
              <w:spacing w:before="0" w:after="120"/>
              <w:jc w:val="left"/>
              <w:rPr>
                <w:szCs w:val="22"/>
              </w:rPr>
            </w:pPr>
          </w:p>
        </w:tc>
        <w:tc>
          <w:tcPr>
            <w:tcW w:w="4445" w:type="dxa"/>
            <w:gridSpan w:val="3"/>
            <w:shd w:val="clear" w:color="auto" w:fill="auto"/>
          </w:tcPr>
          <w:p w:rsidR="00D945C2" w:rsidRPr="00C54AE7" w:rsidDel="00580FCB" w:rsidRDefault="00D945C2" w:rsidP="00EE598D">
            <w:pPr>
              <w:pStyle w:val="StandardBlock"/>
              <w:spacing w:before="0" w:after="120"/>
              <w:ind w:left="-113"/>
              <w:jc w:val="left"/>
              <w:rPr>
                <w:szCs w:val="22"/>
              </w:rPr>
            </w:pPr>
          </w:p>
        </w:tc>
      </w:tr>
      <w:tr w:rsidR="00D945C2" w:rsidRPr="00C54AE7" w:rsidDel="00580FCB" w:rsidTr="00010823">
        <w:trPr>
          <w:trHeight w:hRule="exact" w:val="284"/>
        </w:trPr>
        <w:tc>
          <w:tcPr>
            <w:tcW w:w="1941" w:type="dxa"/>
            <w:shd w:val="clear" w:color="auto" w:fill="auto"/>
            <w:vAlign w:val="bottom"/>
          </w:tcPr>
          <w:p w:rsidR="00D945C2" w:rsidRPr="00C54AE7" w:rsidDel="00580FCB" w:rsidRDefault="00D945C2" w:rsidP="00010823">
            <w:pPr>
              <w:pStyle w:val="StandardBlock"/>
              <w:spacing w:before="0" w:after="0"/>
              <w:ind w:left="-113"/>
              <w:jc w:val="left"/>
              <w:rPr>
                <w:szCs w:val="22"/>
              </w:rPr>
            </w:pPr>
            <w:r w:rsidRPr="00C54AE7">
              <w:rPr>
                <w:szCs w:val="22"/>
              </w:rPr>
              <w:fldChar w:fldCharType="begin">
                <w:ffData>
                  <w:name w:val=""/>
                  <w:enabled/>
                  <w:calcOnExit w:val="0"/>
                  <w:textInput/>
                </w:ffData>
              </w:fldChar>
            </w:r>
            <w:r w:rsidRPr="00C54AE7">
              <w:rPr>
                <w:szCs w:val="22"/>
              </w:rPr>
              <w:instrText xml:space="preserve"> FORMTEXT </w:instrText>
            </w:r>
            <w:r w:rsidRPr="00C54AE7">
              <w:rPr>
                <w:szCs w:val="22"/>
              </w:rPr>
            </w:r>
            <w:r w:rsidRPr="00C54AE7">
              <w:rPr>
                <w:szCs w:val="22"/>
              </w:rPr>
              <w:fldChar w:fldCharType="separate"/>
            </w:r>
            <w:r w:rsidR="00CA5D1E">
              <w:rPr>
                <w:szCs w:val="22"/>
              </w:rPr>
              <w:t> </w:t>
            </w:r>
            <w:r w:rsidR="00CA5D1E">
              <w:rPr>
                <w:szCs w:val="22"/>
              </w:rPr>
              <w:t> </w:t>
            </w:r>
            <w:r w:rsidR="00CA5D1E">
              <w:rPr>
                <w:szCs w:val="22"/>
              </w:rPr>
              <w:t> </w:t>
            </w:r>
            <w:r w:rsidR="00CA5D1E">
              <w:rPr>
                <w:szCs w:val="22"/>
              </w:rPr>
              <w:t> </w:t>
            </w:r>
            <w:r w:rsidR="00CA5D1E">
              <w:rPr>
                <w:szCs w:val="22"/>
              </w:rPr>
              <w:t> </w:t>
            </w:r>
            <w:r w:rsidRPr="00C54AE7">
              <w:rPr>
                <w:szCs w:val="22"/>
              </w:rPr>
              <w:fldChar w:fldCharType="end"/>
            </w:r>
          </w:p>
        </w:tc>
        <w:tc>
          <w:tcPr>
            <w:tcW w:w="236" w:type="dxa"/>
            <w:shd w:val="clear" w:color="auto" w:fill="auto"/>
            <w:vAlign w:val="bottom"/>
          </w:tcPr>
          <w:p w:rsidR="00D945C2" w:rsidRPr="00C54AE7" w:rsidDel="00580FCB" w:rsidRDefault="00D945C2" w:rsidP="00010823">
            <w:pPr>
              <w:pStyle w:val="StandardBlock"/>
              <w:spacing w:before="0" w:after="0"/>
              <w:jc w:val="left"/>
              <w:rPr>
                <w:szCs w:val="22"/>
              </w:rPr>
            </w:pPr>
          </w:p>
        </w:tc>
        <w:tc>
          <w:tcPr>
            <w:tcW w:w="2225" w:type="dxa"/>
            <w:shd w:val="clear" w:color="auto" w:fill="auto"/>
            <w:vAlign w:val="bottom"/>
          </w:tcPr>
          <w:p w:rsidR="00D945C2" w:rsidRPr="00C54AE7" w:rsidDel="00580FCB" w:rsidRDefault="00364982" w:rsidP="00010823">
            <w:pPr>
              <w:pStyle w:val="StandardBlock"/>
              <w:spacing w:before="0" w:after="0"/>
              <w:jc w:val="left"/>
              <w:rPr>
                <w:szCs w:val="22"/>
              </w:rPr>
            </w:pPr>
            <w:r w:rsidRPr="00C54AE7">
              <w:rPr>
                <w:szCs w:val="22"/>
              </w:rPr>
              <w:fldChar w:fldCharType="begin">
                <w:ffData>
                  <w:name w:val=""/>
                  <w:enabled/>
                  <w:calcOnExit w:val="0"/>
                  <w:textInput/>
                </w:ffData>
              </w:fldChar>
            </w:r>
            <w:r w:rsidRPr="00C54AE7">
              <w:rPr>
                <w:szCs w:val="22"/>
              </w:rPr>
              <w:instrText xml:space="preserve"> FORMTEXT </w:instrText>
            </w:r>
            <w:r w:rsidRPr="00C54AE7">
              <w:rPr>
                <w:szCs w:val="22"/>
              </w:rPr>
            </w:r>
            <w:r w:rsidRPr="00C54AE7">
              <w:rPr>
                <w:szCs w:val="22"/>
              </w:rPr>
              <w:fldChar w:fldCharType="separate"/>
            </w:r>
            <w:r w:rsidRPr="00C54AE7">
              <w:rPr>
                <w:szCs w:val="22"/>
              </w:rPr>
              <w:t> </w:t>
            </w:r>
            <w:r w:rsidRPr="00C54AE7">
              <w:rPr>
                <w:szCs w:val="22"/>
              </w:rPr>
              <w:t> </w:t>
            </w:r>
            <w:r w:rsidRPr="00C54AE7">
              <w:rPr>
                <w:szCs w:val="22"/>
              </w:rPr>
              <w:t> </w:t>
            </w:r>
            <w:r w:rsidRPr="00C54AE7">
              <w:rPr>
                <w:szCs w:val="22"/>
              </w:rPr>
              <w:t> </w:t>
            </w:r>
            <w:r w:rsidRPr="00C54AE7">
              <w:rPr>
                <w:szCs w:val="22"/>
              </w:rPr>
              <w:t> </w:t>
            </w:r>
            <w:r w:rsidRPr="00C54AE7">
              <w:rPr>
                <w:szCs w:val="22"/>
              </w:rPr>
              <w:fldChar w:fldCharType="end"/>
            </w:r>
          </w:p>
        </w:tc>
        <w:tc>
          <w:tcPr>
            <w:tcW w:w="512" w:type="dxa"/>
            <w:shd w:val="clear" w:color="auto" w:fill="auto"/>
            <w:vAlign w:val="bottom"/>
          </w:tcPr>
          <w:p w:rsidR="00D945C2" w:rsidRPr="00C54AE7" w:rsidDel="00580FCB" w:rsidRDefault="00D945C2" w:rsidP="00010823">
            <w:pPr>
              <w:pStyle w:val="StandardBlock"/>
              <w:spacing w:before="0" w:after="0"/>
              <w:jc w:val="left"/>
              <w:rPr>
                <w:szCs w:val="22"/>
              </w:rPr>
            </w:pPr>
          </w:p>
        </w:tc>
        <w:tc>
          <w:tcPr>
            <w:tcW w:w="1987" w:type="dxa"/>
            <w:tcBorders>
              <w:bottom w:val="single" w:sz="4" w:space="0" w:color="auto"/>
            </w:tcBorders>
            <w:shd w:val="clear" w:color="auto" w:fill="auto"/>
            <w:vAlign w:val="bottom"/>
          </w:tcPr>
          <w:p w:rsidR="00D945C2" w:rsidRPr="00C54AE7" w:rsidRDefault="00364982" w:rsidP="00010823">
            <w:pPr>
              <w:pStyle w:val="StandardBlock"/>
              <w:spacing w:before="0" w:after="0"/>
              <w:ind w:left="-109" w:right="-113" w:firstLine="14"/>
              <w:jc w:val="left"/>
              <w:rPr>
                <w:szCs w:val="22"/>
              </w:rPr>
            </w:pPr>
            <w:r w:rsidRPr="00C54AE7">
              <w:rPr>
                <w:szCs w:val="22"/>
              </w:rPr>
              <w:fldChar w:fldCharType="begin">
                <w:ffData>
                  <w:name w:val=""/>
                  <w:enabled/>
                  <w:calcOnExit w:val="0"/>
                  <w:textInput/>
                </w:ffData>
              </w:fldChar>
            </w:r>
            <w:r w:rsidRPr="00C54AE7">
              <w:rPr>
                <w:szCs w:val="22"/>
              </w:rPr>
              <w:instrText xml:space="preserve"> FORMTEXT </w:instrText>
            </w:r>
            <w:r w:rsidRPr="00C54AE7">
              <w:rPr>
                <w:szCs w:val="22"/>
              </w:rPr>
            </w:r>
            <w:r w:rsidRPr="00C54AE7">
              <w:rPr>
                <w:szCs w:val="22"/>
              </w:rPr>
              <w:fldChar w:fldCharType="separate"/>
            </w:r>
            <w:r w:rsidRPr="00C54AE7">
              <w:rPr>
                <w:szCs w:val="22"/>
              </w:rPr>
              <w:t> </w:t>
            </w:r>
            <w:r w:rsidRPr="00C54AE7">
              <w:rPr>
                <w:szCs w:val="22"/>
              </w:rPr>
              <w:t> </w:t>
            </w:r>
            <w:r w:rsidRPr="00C54AE7">
              <w:rPr>
                <w:szCs w:val="22"/>
              </w:rPr>
              <w:t> </w:t>
            </w:r>
            <w:r w:rsidRPr="00C54AE7">
              <w:rPr>
                <w:szCs w:val="22"/>
              </w:rPr>
              <w:t> </w:t>
            </w:r>
            <w:r w:rsidRPr="00C54AE7">
              <w:rPr>
                <w:szCs w:val="22"/>
              </w:rPr>
              <w:t> </w:t>
            </w:r>
            <w:r w:rsidRPr="00C54AE7">
              <w:rPr>
                <w:szCs w:val="22"/>
              </w:rPr>
              <w:fldChar w:fldCharType="end"/>
            </w:r>
          </w:p>
        </w:tc>
        <w:tc>
          <w:tcPr>
            <w:tcW w:w="236" w:type="dxa"/>
            <w:shd w:val="clear" w:color="auto" w:fill="auto"/>
            <w:vAlign w:val="bottom"/>
          </w:tcPr>
          <w:p w:rsidR="00D945C2" w:rsidRPr="00C54AE7" w:rsidDel="00580FCB" w:rsidRDefault="00D945C2" w:rsidP="00010823">
            <w:pPr>
              <w:pStyle w:val="StandardBlock"/>
              <w:spacing w:before="0" w:after="0"/>
              <w:jc w:val="left"/>
              <w:rPr>
                <w:szCs w:val="22"/>
              </w:rPr>
            </w:pPr>
          </w:p>
        </w:tc>
        <w:tc>
          <w:tcPr>
            <w:tcW w:w="2222" w:type="dxa"/>
            <w:shd w:val="clear" w:color="auto" w:fill="auto"/>
            <w:vAlign w:val="bottom"/>
          </w:tcPr>
          <w:p w:rsidR="00D945C2" w:rsidRPr="00C54AE7" w:rsidDel="00580FCB" w:rsidRDefault="00364982" w:rsidP="00010823">
            <w:pPr>
              <w:pStyle w:val="StandardBlock"/>
              <w:spacing w:before="0" w:after="0"/>
              <w:jc w:val="left"/>
              <w:rPr>
                <w:szCs w:val="22"/>
              </w:rPr>
            </w:pPr>
            <w:r w:rsidRPr="00C54AE7">
              <w:rPr>
                <w:szCs w:val="22"/>
              </w:rPr>
              <w:fldChar w:fldCharType="begin">
                <w:ffData>
                  <w:name w:val=""/>
                  <w:enabled/>
                  <w:calcOnExit w:val="0"/>
                  <w:textInput/>
                </w:ffData>
              </w:fldChar>
            </w:r>
            <w:r w:rsidRPr="00C54AE7">
              <w:rPr>
                <w:szCs w:val="22"/>
              </w:rPr>
              <w:instrText xml:space="preserve"> FORMTEXT </w:instrText>
            </w:r>
            <w:r w:rsidRPr="00C54AE7">
              <w:rPr>
                <w:szCs w:val="22"/>
              </w:rPr>
            </w:r>
            <w:r w:rsidRPr="00C54AE7">
              <w:rPr>
                <w:szCs w:val="22"/>
              </w:rPr>
              <w:fldChar w:fldCharType="separate"/>
            </w:r>
            <w:r w:rsidRPr="00C54AE7">
              <w:rPr>
                <w:szCs w:val="22"/>
              </w:rPr>
              <w:t> </w:t>
            </w:r>
            <w:r w:rsidRPr="00C54AE7">
              <w:rPr>
                <w:szCs w:val="22"/>
              </w:rPr>
              <w:t> </w:t>
            </w:r>
            <w:r w:rsidRPr="00C54AE7">
              <w:rPr>
                <w:szCs w:val="22"/>
              </w:rPr>
              <w:t> </w:t>
            </w:r>
            <w:r w:rsidRPr="00C54AE7">
              <w:rPr>
                <w:szCs w:val="22"/>
              </w:rPr>
              <w:t> </w:t>
            </w:r>
            <w:r w:rsidRPr="00C54AE7">
              <w:rPr>
                <w:szCs w:val="22"/>
              </w:rPr>
              <w:t> </w:t>
            </w:r>
            <w:r w:rsidRPr="00C54AE7">
              <w:rPr>
                <w:szCs w:val="22"/>
              </w:rPr>
              <w:fldChar w:fldCharType="end"/>
            </w:r>
          </w:p>
        </w:tc>
      </w:tr>
      <w:tr w:rsidR="00D945C2" w:rsidRPr="00C54AE7" w:rsidTr="00010823">
        <w:trPr>
          <w:trHeight w:hRule="exact" w:val="23"/>
        </w:trPr>
        <w:tc>
          <w:tcPr>
            <w:tcW w:w="1941" w:type="dxa"/>
            <w:tcBorders>
              <w:top w:val="single" w:sz="4" w:space="0" w:color="auto"/>
            </w:tcBorders>
            <w:shd w:val="clear" w:color="auto" w:fill="auto"/>
          </w:tcPr>
          <w:p w:rsidR="00D945C2" w:rsidRPr="00C54AE7" w:rsidRDefault="00D945C2" w:rsidP="00010823">
            <w:pPr>
              <w:pStyle w:val="StandardBlock"/>
              <w:spacing w:before="0" w:after="0"/>
              <w:jc w:val="left"/>
              <w:rPr>
                <w:szCs w:val="22"/>
              </w:rPr>
            </w:pPr>
          </w:p>
        </w:tc>
        <w:tc>
          <w:tcPr>
            <w:tcW w:w="236" w:type="dxa"/>
            <w:shd w:val="clear" w:color="auto" w:fill="auto"/>
          </w:tcPr>
          <w:p w:rsidR="00D945C2" w:rsidRPr="00C54AE7" w:rsidRDefault="00D945C2" w:rsidP="00010823">
            <w:pPr>
              <w:pStyle w:val="StandardBlock"/>
              <w:spacing w:before="0" w:after="0"/>
              <w:jc w:val="left"/>
              <w:rPr>
                <w:szCs w:val="22"/>
              </w:rPr>
            </w:pPr>
          </w:p>
        </w:tc>
        <w:tc>
          <w:tcPr>
            <w:tcW w:w="2225" w:type="dxa"/>
            <w:tcBorders>
              <w:top w:val="single" w:sz="4" w:space="0" w:color="auto"/>
            </w:tcBorders>
            <w:shd w:val="clear" w:color="auto" w:fill="auto"/>
          </w:tcPr>
          <w:p w:rsidR="00D945C2" w:rsidRPr="00C54AE7" w:rsidRDefault="00D945C2" w:rsidP="00010823">
            <w:pPr>
              <w:pStyle w:val="StandardBlock"/>
              <w:spacing w:before="0" w:after="0"/>
              <w:jc w:val="left"/>
              <w:rPr>
                <w:szCs w:val="22"/>
              </w:rPr>
            </w:pPr>
          </w:p>
        </w:tc>
        <w:tc>
          <w:tcPr>
            <w:tcW w:w="512" w:type="dxa"/>
            <w:shd w:val="clear" w:color="auto" w:fill="auto"/>
          </w:tcPr>
          <w:p w:rsidR="00D945C2" w:rsidRPr="00C54AE7" w:rsidRDefault="00D945C2" w:rsidP="00010823">
            <w:pPr>
              <w:pStyle w:val="StandardBlock"/>
              <w:spacing w:before="0" w:after="0"/>
              <w:jc w:val="left"/>
              <w:rPr>
                <w:szCs w:val="22"/>
              </w:rPr>
            </w:pPr>
          </w:p>
        </w:tc>
        <w:tc>
          <w:tcPr>
            <w:tcW w:w="1987" w:type="dxa"/>
            <w:tcBorders>
              <w:top w:val="single" w:sz="4" w:space="0" w:color="auto"/>
            </w:tcBorders>
            <w:shd w:val="clear" w:color="auto" w:fill="auto"/>
          </w:tcPr>
          <w:p w:rsidR="00D945C2" w:rsidRPr="00C54AE7" w:rsidRDefault="00D945C2" w:rsidP="00010823">
            <w:pPr>
              <w:pStyle w:val="StandardBlock"/>
              <w:spacing w:before="0" w:after="0"/>
              <w:jc w:val="left"/>
              <w:rPr>
                <w:szCs w:val="22"/>
              </w:rPr>
            </w:pPr>
          </w:p>
        </w:tc>
        <w:tc>
          <w:tcPr>
            <w:tcW w:w="236" w:type="dxa"/>
            <w:shd w:val="clear" w:color="auto" w:fill="auto"/>
          </w:tcPr>
          <w:p w:rsidR="00D945C2" w:rsidRPr="00C54AE7" w:rsidRDefault="00D945C2" w:rsidP="00010823">
            <w:pPr>
              <w:pStyle w:val="StandardBlock"/>
              <w:spacing w:before="0" w:after="0"/>
              <w:jc w:val="left"/>
              <w:rPr>
                <w:szCs w:val="22"/>
              </w:rPr>
            </w:pPr>
          </w:p>
        </w:tc>
        <w:tc>
          <w:tcPr>
            <w:tcW w:w="2222" w:type="dxa"/>
            <w:tcBorders>
              <w:top w:val="single" w:sz="4" w:space="0" w:color="auto"/>
            </w:tcBorders>
            <w:shd w:val="clear" w:color="auto" w:fill="auto"/>
          </w:tcPr>
          <w:p w:rsidR="00D945C2" w:rsidRPr="00C54AE7" w:rsidRDefault="00D945C2" w:rsidP="00010823">
            <w:pPr>
              <w:pStyle w:val="StandardBlock"/>
              <w:spacing w:before="0" w:after="0"/>
              <w:jc w:val="left"/>
              <w:rPr>
                <w:szCs w:val="22"/>
              </w:rPr>
            </w:pPr>
          </w:p>
        </w:tc>
      </w:tr>
      <w:tr w:rsidR="00D945C2" w:rsidRPr="00C54AE7" w:rsidTr="00010823">
        <w:trPr>
          <w:trHeight w:val="50"/>
        </w:trPr>
        <w:tc>
          <w:tcPr>
            <w:tcW w:w="1941" w:type="dxa"/>
            <w:shd w:val="clear" w:color="auto" w:fill="auto"/>
          </w:tcPr>
          <w:p w:rsidR="00D945C2" w:rsidRPr="00C54AE7" w:rsidRDefault="00D945C2" w:rsidP="00EE598D">
            <w:pPr>
              <w:pStyle w:val="StandardBlock"/>
              <w:spacing w:before="0" w:after="0"/>
              <w:ind w:left="-113"/>
              <w:jc w:val="left"/>
              <w:rPr>
                <w:sz w:val="18"/>
                <w:szCs w:val="18"/>
              </w:rPr>
            </w:pPr>
            <w:r w:rsidRPr="00C54AE7">
              <w:rPr>
                <w:sz w:val="18"/>
                <w:szCs w:val="18"/>
              </w:rPr>
              <w:t>Ort</w:t>
            </w:r>
          </w:p>
        </w:tc>
        <w:tc>
          <w:tcPr>
            <w:tcW w:w="236" w:type="dxa"/>
            <w:shd w:val="clear" w:color="auto" w:fill="auto"/>
          </w:tcPr>
          <w:p w:rsidR="00D945C2" w:rsidRPr="00C54AE7" w:rsidRDefault="00D945C2" w:rsidP="00EE598D">
            <w:pPr>
              <w:pStyle w:val="StandardBlock"/>
              <w:spacing w:before="0" w:after="0"/>
              <w:ind w:left="-113"/>
              <w:jc w:val="left"/>
              <w:rPr>
                <w:sz w:val="18"/>
                <w:szCs w:val="18"/>
              </w:rPr>
            </w:pPr>
          </w:p>
        </w:tc>
        <w:tc>
          <w:tcPr>
            <w:tcW w:w="2225" w:type="dxa"/>
            <w:shd w:val="clear" w:color="auto" w:fill="auto"/>
          </w:tcPr>
          <w:p w:rsidR="00D945C2" w:rsidRPr="00C54AE7" w:rsidRDefault="00D945C2" w:rsidP="00EE598D">
            <w:pPr>
              <w:pStyle w:val="StandardBlock"/>
              <w:spacing w:before="0" w:after="0"/>
              <w:ind w:left="-113"/>
              <w:jc w:val="left"/>
              <w:rPr>
                <w:sz w:val="18"/>
                <w:szCs w:val="18"/>
              </w:rPr>
            </w:pPr>
            <w:r w:rsidRPr="00C54AE7">
              <w:rPr>
                <w:sz w:val="18"/>
                <w:szCs w:val="18"/>
              </w:rPr>
              <w:t>Datum</w:t>
            </w:r>
          </w:p>
        </w:tc>
        <w:tc>
          <w:tcPr>
            <w:tcW w:w="512" w:type="dxa"/>
            <w:shd w:val="clear" w:color="auto" w:fill="auto"/>
          </w:tcPr>
          <w:p w:rsidR="00D945C2" w:rsidRPr="00C54AE7" w:rsidRDefault="00D945C2" w:rsidP="00EE598D">
            <w:pPr>
              <w:pStyle w:val="StandardBlock"/>
              <w:spacing w:before="0" w:after="0"/>
              <w:ind w:left="-113"/>
              <w:jc w:val="left"/>
              <w:rPr>
                <w:sz w:val="18"/>
                <w:szCs w:val="18"/>
              </w:rPr>
            </w:pPr>
          </w:p>
        </w:tc>
        <w:tc>
          <w:tcPr>
            <w:tcW w:w="1987" w:type="dxa"/>
            <w:shd w:val="clear" w:color="auto" w:fill="auto"/>
          </w:tcPr>
          <w:p w:rsidR="00D945C2" w:rsidRPr="00C54AE7" w:rsidRDefault="00D945C2" w:rsidP="00EE598D">
            <w:pPr>
              <w:pStyle w:val="StandardBlock"/>
              <w:spacing w:before="0" w:after="0"/>
              <w:ind w:left="-113"/>
              <w:jc w:val="left"/>
              <w:rPr>
                <w:sz w:val="18"/>
                <w:szCs w:val="18"/>
              </w:rPr>
            </w:pPr>
            <w:r w:rsidRPr="00C54AE7">
              <w:rPr>
                <w:sz w:val="18"/>
                <w:szCs w:val="18"/>
              </w:rPr>
              <w:t>Ort</w:t>
            </w:r>
          </w:p>
        </w:tc>
        <w:tc>
          <w:tcPr>
            <w:tcW w:w="236" w:type="dxa"/>
            <w:shd w:val="clear" w:color="auto" w:fill="auto"/>
          </w:tcPr>
          <w:p w:rsidR="00D945C2" w:rsidRPr="00C54AE7" w:rsidRDefault="00D945C2" w:rsidP="00EE598D">
            <w:pPr>
              <w:pStyle w:val="StandardBlock"/>
              <w:spacing w:before="0" w:after="0"/>
              <w:ind w:left="-113"/>
              <w:jc w:val="left"/>
              <w:rPr>
                <w:sz w:val="18"/>
                <w:szCs w:val="18"/>
              </w:rPr>
            </w:pPr>
          </w:p>
        </w:tc>
        <w:tc>
          <w:tcPr>
            <w:tcW w:w="2222" w:type="dxa"/>
            <w:shd w:val="clear" w:color="auto" w:fill="auto"/>
          </w:tcPr>
          <w:p w:rsidR="00D945C2" w:rsidRPr="00C54AE7" w:rsidRDefault="00D945C2" w:rsidP="00EE598D">
            <w:pPr>
              <w:pStyle w:val="StandardBlock"/>
              <w:spacing w:before="0" w:after="0"/>
              <w:ind w:left="-113"/>
              <w:jc w:val="left"/>
              <w:rPr>
                <w:sz w:val="18"/>
                <w:szCs w:val="18"/>
              </w:rPr>
            </w:pPr>
            <w:r w:rsidRPr="00C54AE7">
              <w:rPr>
                <w:sz w:val="18"/>
                <w:szCs w:val="18"/>
              </w:rPr>
              <w:t>Datum</w:t>
            </w:r>
          </w:p>
        </w:tc>
      </w:tr>
      <w:tr w:rsidR="00D945C2" w:rsidRPr="00C54AE7" w:rsidTr="00010823">
        <w:trPr>
          <w:trHeight w:hRule="exact" w:val="567"/>
        </w:trPr>
        <w:tc>
          <w:tcPr>
            <w:tcW w:w="1941" w:type="dxa"/>
            <w:shd w:val="clear" w:color="auto" w:fill="auto"/>
          </w:tcPr>
          <w:p w:rsidR="00D945C2" w:rsidRPr="00C54AE7" w:rsidRDefault="00D945C2" w:rsidP="00EE598D">
            <w:pPr>
              <w:pStyle w:val="StandardBlock"/>
              <w:spacing w:before="0" w:after="0"/>
              <w:ind w:left="-113"/>
              <w:jc w:val="left"/>
              <w:rPr>
                <w:szCs w:val="22"/>
              </w:rPr>
            </w:pPr>
          </w:p>
        </w:tc>
        <w:tc>
          <w:tcPr>
            <w:tcW w:w="236" w:type="dxa"/>
            <w:shd w:val="clear" w:color="auto" w:fill="auto"/>
          </w:tcPr>
          <w:p w:rsidR="00D945C2" w:rsidRPr="00C54AE7" w:rsidRDefault="00D945C2" w:rsidP="00EE598D">
            <w:pPr>
              <w:pStyle w:val="StandardBlock"/>
              <w:spacing w:before="0" w:after="0"/>
              <w:ind w:left="-113"/>
              <w:jc w:val="left"/>
              <w:rPr>
                <w:szCs w:val="22"/>
              </w:rPr>
            </w:pPr>
          </w:p>
        </w:tc>
        <w:tc>
          <w:tcPr>
            <w:tcW w:w="2225" w:type="dxa"/>
            <w:shd w:val="clear" w:color="auto" w:fill="auto"/>
          </w:tcPr>
          <w:p w:rsidR="00D945C2" w:rsidRPr="00C54AE7" w:rsidRDefault="00D945C2" w:rsidP="00EE598D">
            <w:pPr>
              <w:pStyle w:val="StandardBlock"/>
              <w:spacing w:before="0" w:after="0"/>
              <w:ind w:left="-113"/>
              <w:jc w:val="left"/>
              <w:rPr>
                <w:szCs w:val="22"/>
              </w:rPr>
            </w:pPr>
          </w:p>
        </w:tc>
        <w:tc>
          <w:tcPr>
            <w:tcW w:w="512" w:type="dxa"/>
            <w:shd w:val="clear" w:color="auto" w:fill="auto"/>
          </w:tcPr>
          <w:p w:rsidR="00D945C2" w:rsidRPr="00C54AE7" w:rsidRDefault="00D945C2" w:rsidP="00EE598D">
            <w:pPr>
              <w:pStyle w:val="StandardBlock"/>
              <w:spacing w:before="0" w:after="0"/>
              <w:ind w:left="-113"/>
              <w:jc w:val="left"/>
              <w:rPr>
                <w:szCs w:val="22"/>
              </w:rPr>
            </w:pPr>
          </w:p>
        </w:tc>
        <w:tc>
          <w:tcPr>
            <w:tcW w:w="1987" w:type="dxa"/>
            <w:shd w:val="clear" w:color="auto" w:fill="auto"/>
          </w:tcPr>
          <w:p w:rsidR="00D945C2" w:rsidRPr="00C54AE7" w:rsidRDefault="00D945C2" w:rsidP="00EE598D">
            <w:pPr>
              <w:pStyle w:val="StandardBlock"/>
              <w:spacing w:before="0" w:after="0"/>
              <w:ind w:left="-113"/>
              <w:jc w:val="left"/>
              <w:rPr>
                <w:szCs w:val="22"/>
              </w:rPr>
            </w:pPr>
          </w:p>
        </w:tc>
        <w:tc>
          <w:tcPr>
            <w:tcW w:w="236" w:type="dxa"/>
            <w:shd w:val="clear" w:color="auto" w:fill="auto"/>
          </w:tcPr>
          <w:p w:rsidR="00D945C2" w:rsidRPr="00C54AE7" w:rsidRDefault="00D945C2" w:rsidP="00EE598D">
            <w:pPr>
              <w:pStyle w:val="StandardBlock"/>
              <w:spacing w:before="0" w:after="0"/>
              <w:ind w:left="-113"/>
              <w:jc w:val="left"/>
              <w:rPr>
                <w:szCs w:val="22"/>
              </w:rPr>
            </w:pPr>
          </w:p>
        </w:tc>
        <w:tc>
          <w:tcPr>
            <w:tcW w:w="2222" w:type="dxa"/>
            <w:shd w:val="clear" w:color="auto" w:fill="auto"/>
          </w:tcPr>
          <w:p w:rsidR="00D945C2" w:rsidRPr="00C54AE7" w:rsidRDefault="00D945C2" w:rsidP="00EE598D">
            <w:pPr>
              <w:pStyle w:val="StandardBlock"/>
              <w:spacing w:before="0" w:after="0"/>
              <w:ind w:left="-113"/>
              <w:jc w:val="left"/>
              <w:rPr>
                <w:szCs w:val="22"/>
              </w:rPr>
            </w:pPr>
          </w:p>
        </w:tc>
      </w:tr>
      <w:tr w:rsidR="00D945C2" w:rsidRPr="00C54AE7" w:rsidTr="00010823">
        <w:trPr>
          <w:trHeight w:hRule="exact" w:val="284"/>
        </w:trPr>
        <w:tc>
          <w:tcPr>
            <w:tcW w:w="1941" w:type="dxa"/>
            <w:tcBorders>
              <w:bottom w:val="single" w:sz="4" w:space="0" w:color="auto"/>
            </w:tcBorders>
            <w:shd w:val="clear" w:color="auto" w:fill="auto"/>
            <w:vAlign w:val="bottom"/>
          </w:tcPr>
          <w:p w:rsidR="00D945C2" w:rsidRPr="00C54AE7" w:rsidRDefault="00D945C2" w:rsidP="00EE598D">
            <w:pPr>
              <w:pStyle w:val="StandardBlock"/>
              <w:spacing w:before="0" w:after="0"/>
              <w:ind w:left="-113"/>
              <w:jc w:val="left"/>
              <w:rPr>
                <w:szCs w:val="22"/>
              </w:rPr>
            </w:pPr>
            <w:r w:rsidRPr="00C54AE7">
              <w:rPr>
                <w:szCs w:val="22"/>
              </w:rPr>
              <w:fldChar w:fldCharType="begin">
                <w:ffData>
                  <w:name w:val=""/>
                  <w:enabled/>
                  <w:calcOnExit w:val="0"/>
                  <w:textInput/>
                </w:ffData>
              </w:fldChar>
            </w:r>
            <w:r w:rsidRPr="00C54AE7">
              <w:rPr>
                <w:szCs w:val="22"/>
              </w:rPr>
              <w:instrText xml:space="preserve"> FORMTEXT </w:instrText>
            </w:r>
            <w:r w:rsidRPr="00C54AE7">
              <w:rPr>
                <w:szCs w:val="22"/>
              </w:rPr>
            </w:r>
            <w:r w:rsidRPr="00C54AE7">
              <w:rPr>
                <w:szCs w:val="22"/>
              </w:rPr>
              <w:fldChar w:fldCharType="separate"/>
            </w:r>
            <w:r w:rsidRPr="00C54AE7">
              <w:rPr>
                <w:noProof/>
                <w:szCs w:val="22"/>
              </w:rPr>
              <w:t> </w:t>
            </w:r>
            <w:r w:rsidRPr="00C54AE7">
              <w:rPr>
                <w:noProof/>
                <w:szCs w:val="22"/>
              </w:rPr>
              <w:t> </w:t>
            </w:r>
            <w:r w:rsidRPr="00C54AE7">
              <w:rPr>
                <w:noProof/>
                <w:szCs w:val="22"/>
              </w:rPr>
              <w:t> </w:t>
            </w:r>
            <w:r w:rsidRPr="00C54AE7">
              <w:rPr>
                <w:noProof/>
                <w:szCs w:val="22"/>
              </w:rPr>
              <w:t> </w:t>
            </w:r>
            <w:r w:rsidRPr="00C54AE7">
              <w:rPr>
                <w:noProof/>
                <w:szCs w:val="22"/>
              </w:rPr>
              <w:t> </w:t>
            </w:r>
            <w:r w:rsidRPr="00C54AE7">
              <w:rPr>
                <w:szCs w:val="22"/>
              </w:rPr>
              <w:fldChar w:fldCharType="end"/>
            </w:r>
          </w:p>
        </w:tc>
        <w:tc>
          <w:tcPr>
            <w:tcW w:w="236" w:type="dxa"/>
            <w:shd w:val="clear" w:color="auto" w:fill="auto"/>
            <w:vAlign w:val="bottom"/>
          </w:tcPr>
          <w:p w:rsidR="00D945C2" w:rsidRPr="00C54AE7" w:rsidRDefault="00D945C2" w:rsidP="00EE598D">
            <w:pPr>
              <w:pStyle w:val="StandardBlock"/>
              <w:spacing w:before="0" w:after="0"/>
              <w:ind w:left="-113"/>
              <w:jc w:val="left"/>
              <w:rPr>
                <w:szCs w:val="22"/>
              </w:rPr>
            </w:pPr>
          </w:p>
        </w:tc>
        <w:tc>
          <w:tcPr>
            <w:tcW w:w="2225" w:type="dxa"/>
            <w:tcBorders>
              <w:bottom w:val="single" w:sz="4" w:space="0" w:color="auto"/>
            </w:tcBorders>
            <w:shd w:val="clear" w:color="auto" w:fill="auto"/>
            <w:vAlign w:val="bottom"/>
          </w:tcPr>
          <w:p w:rsidR="00D945C2" w:rsidRPr="00C54AE7" w:rsidRDefault="00D945C2" w:rsidP="00EE598D">
            <w:pPr>
              <w:pStyle w:val="StandardBlock"/>
              <w:spacing w:before="0" w:after="0"/>
              <w:ind w:left="-113"/>
              <w:jc w:val="left"/>
              <w:rPr>
                <w:szCs w:val="22"/>
              </w:rPr>
            </w:pPr>
          </w:p>
        </w:tc>
        <w:tc>
          <w:tcPr>
            <w:tcW w:w="512" w:type="dxa"/>
            <w:shd w:val="clear" w:color="auto" w:fill="auto"/>
            <w:vAlign w:val="bottom"/>
          </w:tcPr>
          <w:p w:rsidR="00D945C2" w:rsidRPr="00C54AE7" w:rsidRDefault="00D945C2" w:rsidP="00EE598D">
            <w:pPr>
              <w:pStyle w:val="StandardBlock"/>
              <w:spacing w:before="0" w:after="0"/>
              <w:ind w:left="-113"/>
              <w:jc w:val="left"/>
              <w:rPr>
                <w:szCs w:val="22"/>
              </w:rPr>
            </w:pPr>
          </w:p>
        </w:tc>
        <w:tc>
          <w:tcPr>
            <w:tcW w:w="1987" w:type="dxa"/>
            <w:tcBorders>
              <w:bottom w:val="single" w:sz="4" w:space="0" w:color="auto"/>
            </w:tcBorders>
            <w:shd w:val="clear" w:color="auto" w:fill="auto"/>
            <w:vAlign w:val="bottom"/>
          </w:tcPr>
          <w:p w:rsidR="00D945C2" w:rsidRPr="00C54AE7" w:rsidRDefault="00D945C2" w:rsidP="00EE598D">
            <w:pPr>
              <w:pStyle w:val="StandardBlock"/>
              <w:spacing w:before="0" w:after="0"/>
              <w:ind w:left="-113"/>
              <w:jc w:val="left"/>
              <w:rPr>
                <w:szCs w:val="22"/>
              </w:rPr>
            </w:pPr>
            <w:r w:rsidRPr="00C54AE7">
              <w:rPr>
                <w:szCs w:val="22"/>
              </w:rPr>
              <w:fldChar w:fldCharType="begin">
                <w:ffData>
                  <w:name w:val=""/>
                  <w:enabled/>
                  <w:calcOnExit w:val="0"/>
                  <w:textInput/>
                </w:ffData>
              </w:fldChar>
            </w:r>
            <w:r w:rsidRPr="00C54AE7">
              <w:rPr>
                <w:szCs w:val="22"/>
              </w:rPr>
              <w:instrText xml:space="preserve"> FORMTEXT </w:instrText>
            </w:r>
            <w:r w:rsidRPr="00C54AE7">
              <w:rPr>
                <w:szCs w:val="22"/>
              </w:rPr>
            </w:r>
            <w:r w:rsidRPr="00C54AE7">
              <w:rPr>
                <w:szCs w:val="22"/>
              </w:rPr>
              <w:fldChar w:fldCharType="separate"/>
            </w:r>
            <w:r w:rsidRPr="00C54AE7">
              <w:rPr>
                <w:noProof/>
                <w:szCs w:val="22"/>
              </w:rPr>
              <w:t> </w:t>
            </w:r>
            <w:r w:rsidRPr="00C54AE7">
              <w:rPr>
                <w:noProof/>
                <w:szCs w:val="22"/>
              </w:rPr>
              <w:t> </w:t>
            </w:r>
            <w:r w:rsidRPr="00C54AE7">
              <w:rPr>
                <w:noProof/>
                <w:szCs w:val="22"/>
              </w:rPr>
              <w:t> </w:t>
            </w:r>
            <w:r w:rsidRPr="00C54AE7">
              <w:rPr>
                <w:noProof/>
                <w:szCs w:val="22"/>
              </w:rPr>
              <w:t> </w:t>
            </w:r>
            <w:r w:rsidRPr="00C54AE7">
              <w:rPr>
                <w:noProof/>
                <w:szCs w:val="22"/>
              </w:rPr>
              <w:t> </w:t>
            </w:r>
            <w:r w:rsidRPr="00C54AE7">
              <w:rPr>
                <w:szCs w:val="22"/>
              </w:rPr>
              <w:fldChar w:fldCharType="end"/>
            </w:r>
          </w:p>
        </w:tc>
        <w:tc>
          <w:tcPr>
            <w:tcW w:w="236" w:type="dxa"/>
            <w:shd w:val="clear" w:color="auto" w:fill="auto"/>
            <w:vAlign w:val="bottom"/>
          </w:tcPr>
          <w:p w:rsidR="00D945C2" w:rsidRPr="00C54AE7" w:rsidRDefault="00D945C2" w:rsidP="00EE598D">
            <w:pPr>
              <w:pStyle w:val="StandardBlock"/>
              <w:spacing w:before="0" w:after="0"/>
              <w:ind w:left="-113"/>
              <w:jc w:val="left"/>
              <w:rPr>
                <w:szCs w:val="22"/>
              </w:rPr>
            </w:pPr>
          </w:p>
        </w:tc>
        <w:tc>
          <w:tcPr>
            <w:tcW w:w="2222" w:type="dxa"/>
            <w:tcBorders>
              <w:bottom w:val="single" w:sz="4" w:space="0" w:color="auto"/>
            </w:tcBorders>
            <w:shd w:val="clear" w:color="auto" w:fill="auto"/>
            <w:vAlign w:val="bottom"/>
          </w:tcPr>
          <w:p w:rsidR="00D945C2" w:rsidRPr="00C54AE7" w:rsidRDefault="00D945C2" w:rsidP="00EE598D">
            <w:pPr>
              <w:pStyle w:val="StandardBlock"/>
              <w:spacing w:before="0" w:after="0"/>
              <w:ind w:left="-113"/>
              <w:jc w:val="left"/>
              <w:rPr>
                <w:szCs w:val="22"/>
              </w:rPr>
            </w:pPr>
          </w:p>
        </w:tc>
      </w:tr>
      <w:tr w:rsidR="00D945C2" w:rsidRPr="00C54AE7" w:rsidTr="00010823">
        <w:trPr>
          <w:trHeight w:hRule="exact" w:val="23"/>
        </w:trPr>
        <w:tc>
          <w:tcPr>
            <w:tcW w:w="1941" w:type="dxa"/>
            <w:tcBorders>
              <w:top w:val="single" w:sz="4" w:space="0" w:color="auto"/>
            </w:tcBorders>
            <w:shd w:val="clear" w:color="auto" w:fill="auto"/>
          </w:tcPr>
          <w:p w:rsidR="00D945C2" w:rsidRPr="00C54AE7" w:rsidRDefault="00D945C2" w:rsidP="00EE598D">
            <w:pPr>
              <w:pStyle w:val="StandardBlock"/>
              <w:spacing w:before="0" w:after="0"/>
              <w:ind w:left="-113"/>
              <w:jc w:val="left"/>
              <w:rPr>
                <w:szCs w:val="22"/>
              </w:rPr>
            </w:pPr>
          </w:p>
        </w:tc>
        <w:tc>
          <w:tcPr>
            <w:tcW w:w="236" w:type="dxa"/>
            <w:shd w:val="clear" w:color="auto" w:fill="auto"/>
          </w:tcPr>
          <w:p w:rsidR="00D945C2" w:rsidRPr="00C54AE7" w:rsidRDefault="00D945C2" w:rsidP="00EE598D">
            <w:pPr>
              <w:pStyle w:val="StandardBlock"/>
              <w:spacing w:before="0" w:after="0"/>
              <w:ind w:left="-113"/>
              <w:jc w:val="left"/>
              <w:rPr>
                <w:szCs w:val="22"/>
              </w:rPr>
            </w:pPr>
          </w:p>
        </w:tc>
        <w:tc>
          <w:tcPr>
            <w:tcW w:w="2225" w:type="dxa"/>
            <w:tcBorders>
              <w:top w:val="single" w:sz="4" w:space="0" w:color="auto"/>
            </w:tcBorders>
            <w:shd w:val="clear" w:color="auto" w:fill="auto"/>
          </w:tcPr>
          <w:p w:rsidR="00D945C2" w:rsidRPr="00C54AE7" w:rsidRDefault="00D945C2" w:rsidP="00EE598D">
            <w:pPr>
              <w:pStyle w:val="StandardBlock"/>
              <w:spacing w:before="0" w:after="0"/>
              <w:ind w:left="-113"/>
              <w:jc w:val="left"/>
              <w:rPr>
                <w:szCs w:val="22"/>
              </w:rPr>
            </w:pPr>
          </w:p>
        </w:tc>
        <w:tc>
          <w:tcPr>
            <w:tcW w:w="512" w:type="dxa"/>
            <w:shd w:val="clear" w:color="auto" w:fill="auto"/>
          </w:tcPr>
          <w:p w:rsidR="00D945C2" w:rsidRPr="00C54AE7" w:rsidRDefault="00D945C2" w:rsidP="00EE598D">
            <w:pPr>
              <w:pStyle w:val="StandardBlock"/>
              <w:spacing w:before="0" w:after="0"/>
              <w:ind w:left="-113"/>
              <w:jc w:val="left"/>
              <w:rPr>
                <w:szCs w:val="22"/>
              </w:rPr>
            </w:pPr>
          </w:p>
        </w:tc>
        <w:tc>
          <w:tcPr>
            <w:tcW w:w="1987" w:type="dxa"/>
            <w:tcBorders>
              <w:top w:val="single" w:sz="4" w:space="0" w:color="auto"/>
            </w:tcBorders>
            <w:shd w:val="clear" w:color="auto" w:fill="auto"/>
          </w:tcPr>
          <w:p w:rsidR="00D945C2" w:rsidRPr="00C54AE7" w:rsidRDefault="00D945C2" w:rsidP="00EE598D">
            <w:pPr>
              <w:pStyle w:val="StandardBlock"/>
              <w:spacing w:before="0" w:after="0"/>
              <w:ind w:left="-113"/>
              <w:jc w:val="left"/>
              <w:rPr>
                <w:szCs w:val="22"/>
              </w:rPr>
            </w:pPr>
          </w:p>
        </w:tc>
        <w:tc>
          <w:tcPr>
            <w:tcW w:w="236" w:type="dxa"/>
            <w:shd w:val="clear" w:color="auto" w:fill="auto"/>
          </w:tcPr>
          <w:p w:rsidR="00D945C2" w:rsidRPr="00C54AE7" w:rsidRDefault="00D945C2" w:rsidP="00EE598D">
            <w:pPr>
              <w:pStyle w:val="StandardBlock"/>
              <w:spacing w:before="0" w:after="0"/>
              <w:ind w:left="-113"/>
              <w:jc w:val="left"/>
              <w:rPr>
                <w:szCs w:val="22"/>
              </w:rPr>
            </w:pPr>
          </w:p>
        </w:tc>
        <w:tc>
          <w:tcPr>
            <w:tcW w:w="2222" w:type="dxa"/>
            <w:tcBorders>
              <w:top w:val="single" w:sz="4" w:space="0" w:color="auto"/>
            </w:tcBorders>
            <w:shd w:val="clear" w:color="auto" w:fill="auto"/>
          </w:tcPr>
          <w:p w:rsidR="00D945C2" w:rsidRPr="00C54AE7" w:rsidRDefault="00D945C2" w:rsidP="00EE598D">
            <w:pPr>
              <w:pStyle w:val="StandardBlock"/>
              <w:spacing w:before="0" w:after="0"/>
              <w:ind w:left="-113"/>
              <w:jc w:val="left"/>
              <w:rPr>
                <w:szCs w:val="22"/>
              </w:rPr>
            </w:pPr>
          </w:p>
        </w:tc>
      </w:tr>
      <w:tr w:rsidR="00D945C2" w:rsidRPr="00C54AE7" w:rsidTr="00010823">
        <w:tc>
          <w:tcPr>
            <w:tcW w:w="1941" w:type="dxa"/>
            <w:shd w:val="clear" w:color="auto" w:fill="auto"/>
          </w:tcPr>
          <w:p w:rsidR="00D945C2" w:rsidRPr="00C54AE7" w:rsidRDefault="00D945C2" w:rsidP="00EE598D">
            <w:pPr>
              <w:pStyle w:val="StandardBlock"/>
              <w:spacing w:before="0" w:after="0"/>
              <w:ind w:left="-113"/>
              <w:jc w:val="left"/>
              <w:rPr>
                <w:sz w:val="18"/>
                <w:szCs w:val="18"/>
              </w:rPr>
            </w:pPr>
            <w:r w:rsidRPr="00C54AE7">
              <w:rPr>
                <w:sz w:val="18"/>
                <w:szCs w:val="18"/>
              </w:rPr>
              <w:t>Name</w:t>
            </w:r>
          </w:p>
        </w:tc>
        <w:tc>
          <w:tcPr>
            <w:tcW w:w="236" w:type="dxa"/>
            <w:shd w:val="clear" w:color="auto" w:fill="auto"/>
          </w:tcPr>
          <w:p w:rsidR="00D945C2" w:rsidRPr="00C54AE7" w:rsidRDefault="00D945C2" w:rsidP="00EE598D">
            <w:pPr>
              <w:pStyle w:val="StandardBlock"/>
              <w:spacing w:before="0" w:after="0"/>
              <w:ind w:left="-113"/>
              <w:jc w:val="left"/>
              <w:rPr>
                <w:sz w:val="18"/>
                <w:szCs w:val="18"/>
              </w:rPr>
            </w:pPr>
          </w:p>
        </w:tc>
        <w:tc>
          <w:tcPr>
            <w:tcW w:w="2225" w:type="dxa"/>
            <w:shd w:val="clear" w:color="auto" w:fill="auto"/>
          </w:tcPr>
          <w:p w:rsidR="00D945C2" w:rsidRPr="00C54AE7" w:rsidRDefault="00D945C2" w:rsidP="00EE598D">
            <w:pPr>
              <w:pStyle w:val="StandardBlock"/>
              <w:spacing w:before="0" w:after="0"/>
              <w:ind w:left="-113"/>
              <w:jc w:val="left"/>
              <w:rPr>
                <w:sz w:val="18"/>
                <w:szCs w:val="18"/>
              </w:rPr>
            </w:pPr>
            <w:r w:rsidRPr="00C54AE7">
              <w:rPr>
                <w:sz w:val="18"/>
                <w:szCs w:val="18"/>
              </w:rPr>
              <w:t>Unterschrift</w:t>
            </w:r>
          </w:p>
        </w:tc>
        <w:tc>
          <w:tcPr>
            <w:tcW w:w="512" w:type="dxa"/>
            <w:shd w:val="clear" w:color="auto" w:fill="auto"/>
          </w:tcPr>
          <w:p w:rsidR="00D945C2" w:rsidRPr="00C54AE7" w:rsidRDefault="00D945C2" w:rsidP="00EE598D">
            <w:pPr>
              <w:pStyle w:val="StandardBlock"/>
              <w:spacing w:before="0" w:after="0"/>
              <w:ind w:left="-113"/>
              <w:jc w:val="left"/>
              <w:rPr>
                <w:sz w:val="18"/>
                <w:szCs w:val="18"/>
              </w:rPr>
            </w:pPr>
          </w:p>
        </w:tc>
        <w:tc>
          <w:tcPr>
            <w:tcW w:w="1987" w:type="dxa"/>
            <w:shd w:val="clear" w:color="auto" w:fill="auto"/>
          </w:tcPr>
          <w:p w:rsidR="00D945C2" w:rsidRPr="00C54AE7" w:rsidRDefault="00D945C2" w:rsidP="00EE598D">
            <w:pPr>
              <w:pStyle w:val="StandardBlock"/>
              <w:spacing w:before="0" w:after="0"/>
              <w:ind w:left="-113"/>
              <w:jc w:val="left"/>
              <w:rPr>
                <w:sz w:val="18"/>
                <w:szCs w:val="18"/>
              </w:rPr>
            </w:pPr>
            <w:r w:rsidRPr="00C54AE7">
              <w:rPr>
                <w:sz w:val="18"/>
                <w:szCs w:val="18"/>
              </w:rPr>
              <w:t>Name</w:t>
            </w:r>
          </w:p>
        </w:tc>
        <w:tc>
          <w:tcPr>
            <w:tcW w:w="236" w:type="dxa"/>
            <w:shd w:val="clear" w:color="auto" w:fill="auto"/>
          </w:tcPr>
          <w:p w:rsidR="00D945C2" w:rsidRPr="00C54AE7" w:rsidRDefault="00D945C2" w:rsidP="00EE598D">
            <w:pPr>
              <w:pStyle w:val="StandardBlock"/>
              <w:spacing w:before="0" w:after="0"/>
              <w:ind w:left="-113"/>
              <w:jc w:val="left"/>
              <w:rPr>
                <w:sz w:val="18"/>
                <w:szCs w:val="18"/>
              </w:rPr>
            </w:pPr>
          </w:p>
        </w:tc>
        <w:tc>
          <w:tcPr>
            <w:tcW w:w="2222" w:type="dxa"/>
            <w:shd w:val="clear" w:color="auto" w:fill="auto"/>
          </w:tcPr>
          <w:p w:rsidR="00D945C2" w:rsidRPr="00C54AE7" w:rsidRDefault="00D945C2" w:rsidP="00EE598D">
            <w:pPr>
              <w:pStyle w:val="StandardBlock"/>
              <w:spacing w:before="0" w:after="0"/>
              <w:ind w:left="-113"/>
              <w:jc w:val="left"/>
              <w:rPr>
                <w:sz w:val="18"/>
                <w:szCs w:val="18"/>
              </w:rPr>
            </w:pPr>
            <w:r w:rsidRPr="00C54AE7">
              <w:rPr>
                <w:sz w:val="18"/>
                <w:szCs w:val="18"/>
              </w:rPr>
              <w:t>Unterschrift Einkauf</w:t>
            </w:r>
          </w:p>
        </w:tc>
      </w:tr>
      <w:tr w:rsidR="00D945C2" w:rsidRPr="00C54AE7" w:rsidTr="00010823">
        <w:trPr>
          <w:trHeight w:hRule="exact" w:val="567"/>
        </w:trPr>
        <w:tc>
          <w:tcPr>
            <w:tcW w:w="1941" w:type="dxa"/>
            <w:shd w:val="clear" w:color="auto" w:fill="auto"/>
          </w:tcPr>
          <w:p w:rsidR="00D945C2" w:rsidRPr="00C54AE7" w:rsidRDefault="00D945C2" w:rsidP="00EE598D">
            <w:pPr>
              <w:pStyle w:val="StandardBlock"/>
              <w:spacing w:before="0" w:after="0"/>
              <w:ind w:left="-113"/>
              <w:jc w:val="left"/>
              <w:rPr>
                <w:szCs w:val="22"/>
              </w:rPr>
            </w:pPr>
          </w:p>
        </w:tc>
        <w:tc>
          <w:tcPr>
            <w:tcW w:w="236" w:type="dxa"/>
            <w:shd w:val="clear" w:color="auto" w:fill="auto"/>
          </w:tcPr>
          <w:p w:rsidR="00D945C2" w:rsidRPr="00C54AE7" w:rsidRDefault="00D945C2" w:rsidP="00EE598D">
            <w:pPr>
              <w:pStyle w:val="StandardBlock"/>
              <w:spacing w:before="0" w:after="0"/>
              <w:ind w:left="-113"/>
              <w:jc w:val="left"/>
              <w:rPr>
                <w:szCs w:val="22"/>
              </w:rPr>
            </w:pPr>
          </w:p>
        </w:tc>
        <w:tc>
          <w:tcPr>
            <w:tcW w:w="2225" w:type="dxa"/>
            <w:shd w:val="clear" w:color="auto" w:fill="auto"/>
          </w:tcPr>
          <w:p w:rsidR="00D945C2" w:rsidRPr="00C54AE7" w:rsidRDefault="00D945C2" w:rsidP="00EE598D">
            <w:pPr>
              <w:pStyle w:val="StandardBlock"/>
              <w:spacing w:before="0" w:after="0"/>
              <w:ind w:left="-113"/>
              <w:jc w:val="left"/>
              <w:rPr>
                <w:szCs w:val="22"/>
              </w:rPr>
            </w:pPr>
          </w:p>
        </w:tc>
        <w:tc>
          <w:tcPr>
            <w:tcW w:w="512" w:type="dxa"/>
            <w:shd w:val="clear" w:color="auto" w:fill="auto"/>
          </w:tcPr>
          <w:p w:rsidR="00D945C2" w:rsidRPr="00C54AE7" w:rsidRDefault="00D945C2" w:rsidP="00EE598D">
            <w:pPr>
              <w:pStyle w:val="StandardBlock"/>
              <w:spacing w:before="0" w:after="0"/>
              <w:ind w:left="-113"/>
              <w:jc w:val="left"/>
              <w:rPr>
                <w:szCs w:val="22"/>
              </w:rPr>
            </w:pPr>
          </w:p>
        </w:tc>
        <w:tc>
          <w:tcPr>
            <w:tcW w:w="1987" w:type="dxa"/>
            <w:shd w:val="clear" w:color="auto" w:fill="auto"/>
          </w:tcPr>
          <w:p w:rsidR="00D945C2" w:rsidRPr="00C54AE7" w:rsidRDefault="00D945C2" w:rsidP="00EE598D">
            <w:pPr>
              <w:pStyle w:val="StandardBlock"/>
              <w:spacing w:before="0" w:after="0"/>
              <w:ind w:left="-113"/>
              <w:jc w:val="left"/>
              <w:rPr>
                <w:szCs w:val="22"/>
              </w:rPr>
            </w:pPr>
          </w:p>
        </w:tc>
        <w:tc>
          <w:tcPr>
            <w:tcW w:w="236" w:type="dxa"/>
            <w:shd w:val="clear" w:color="auto" w:fill="auto"/>
          </w:tcPr>
          <w:p w:rsidR="00D945C2" w:rsidRPr="00C54AE7" w:rsidRDefault="00D945C2" w:rsidP="00EE598D">
            <w:pPr>
              <w:pStyle w:val="StandardBlock"/>
              <w:spacing w:before="0" w:after="0"/>
              <w:ind w:left="-113"/>
              <w:jc w:val="left"/>
              <w:rPr>
                <w:szCs w:val="22"/>
              </w:rPr>
            </w:pPr>
          </w:p>
        </w:tc>
        <w:tc>
          <w:tcPr>
            <w:tcW w:w="2222" w:type="dxa"/>
            <w:shd w:val="clear" w:color="auto" w:fill="auto"/>
          </w:tcPr>
          <w:p w:rsidR="00D945C2" w:rsidRPr="00C54AE7" w:rsidRDefault="00D945C2" w:rsidP="00EE598D">
            <w:pPr>
              <w:pStyle w:val="StandardBlock"/>
              <w:spacing w:before="0" w:after="0"/>
              <w:ind w:left="-113"/>
              <w:jc w:val="left"/>
              <w:rPr>
                <w:szCs w:val="22"/>
              </w:rPr>
            </w:pPr>
          </w:p>
        </w:tc>
      </w:tr>
      <w:tr w:rsidR="00D945C2" w:rsidRPr="00C54AE7" w:rsidTr="00010823">
        <w:trPr>
          <w:trHeight w:hRule="exact" w:val="284"/>
        </w:trPr>
        <w:tc>
          <w:tcPr>
            <w:tcW w:w="1941" w:type="dxa"/>
            <w:tcBorders>
              <w:bottom w:val="single" w:sz="4" w:space="0" w:color="auto"/>
            </w:tcBorders>
            <w:shd w:val="clear" w:color="auto" w:fill="auto"/>
            <w:vAlign w:val="bottom"/>
          </w:tcPr>
          <w:p w:rsidR="00D945C2" w:rsidRPr="00C54AE7" w:rsidRDefault="00D945C2" w:rsidP="00EE598D">
            <w:pPr>
              <w:pStyle w:val="StandardBlock"/>
              <w:spacing w:before="0" w:after="0"/>
              <w:ind w:left="-113"/>
              <w:jc w:val="left"/>
              <w:rPr>
                <w:szCs w:val="22"/>
              </w:rPr>
            </w:pPr>
            <w:r w:rsidRPr="00C54AE7">
              <w:rPr>
                <w:szCs w:val="22"/>
              </w:rPr>
              <w:fldChar w:fldCharType="begin">
                <w:ffData>
                  <w:name w:val=""/>
                  <w:enabled/>
                  <w:calcOnExit w:val="0"/>
                  <w:textInput/>
                </w:ffData>
              </w:fldChar>
            </w:r>
            <w:r w:rsidRPr="00C54AE7">
              <w:rPr>
                <w:szCs w:val="22"/>
              </w:rPr>
              <w:instrText xml:space="preserve"> FORMTEXT </w:instrText>
            </w:r>
            <w:r w:rsidRPr="00C54AE7">
              <w:rPr>
                <w:szCs w:val="22"/>
              </w:rPr>
            </w:r>
            <w:r w:rsidRPr="00C54AE7">
              <w:rPr>
                <w:szCs w:val="22"/>
              </w:rPr>
              <w:fldChar w:fldCharType="separate"/>
            </w:r>
            <w:r w:rsidRPr="00C54AE7">
              <w:rPr>
                <w:noProof/>
                <w:szCs w:val="22"/>
              </w:rPr>
              <w:t> </w:t>
            </w:r>
            <w:r w:rsidRPr="00C54AE7">
              <w:rPr>
                <w:noProof/>
                <w:szCs w:val="22"/>
              </w:rPr>
              <w:t> </w:t>
            </w:r>
            <w:r w:rsidRPr="00C54AE7">
              <w:rPr>
                <w:noProof/>
                <w:szCs w:val="22"/>
              </w:rPr>
              <w:t> </w:t>
            </w:r>
            <w:r w:rsidRPr="00C54AE7">
              <w:rPr>
                <w:noProof/>
                <w:szCs w:val="22"/>
              </w:rPr>
              <w:t> </w:t>
            </w:r>
            <w:r w:rsidRPr="00C54AE7">
              <w:rPr>
                <w:noProof/>
                <w:szCs w:val="22"/>
              </w:rPr>
              <w:t> </w:t>
            </w:r>
            <w:r w:rsidRPr="00C54AE7">
              <w:rPr>
                <w:szCs w:val="22"/>
              </w:rPr>
              <w:fldChar w:fldCharType="end"/>
            </w:r>
          </w:p>
        </w:tc>
        <w:tc>
          <w:tcPr>
            <w:tcW w:w="236" w:type="dxa"/>
            <w:shd w:val="clear" w:color="auto" w:fill="auto"/>
            <w:vAlign w:val="bottom"/>
          </w:tcPr>
          <w:p w:rsidR="00D945C2" w:rsidRPr="00C54AE7" w:rsidRDefault="00D945C2" w:rsidP="00EE598D">
            <w:pPr>
              <w:pStyle w:val="StandardBlock"/>
              <w:spacing w:before="0" w:after="0"/>
              <w:ind w:left="-113"/>
              <w:jc w:val="left"/>
              <w:rPr>
                <w:szCs w:val="22"/>
              </w:rPr>
            </w:pPr>
          </w:p>
        </w:tc>
        <w:tc>
          <w:tcPr>
            <w:tcW w:w="2225" w:type="dxa"/>
            <w:tcBorders>
              <w:bottom w:val="single" w:sz="4" w:space="0" w:color="auto"/>
            </w:tcBorders>
            <w:shd w:val="clear" w:color="auto" w:fill="auto"/>
            <w:vAlign w:val="bottom"/>
          </w:tcPr>
          <w:p w:rsidR="00D945C2" w:rsidRPr="00C54AE7" w:rsidRDefault="00D945C2" w:rsidP="00EE598D">
            <w:pPr>
              <w:pStyle w:val="StandardBlock"/>
              <w:spacing w:before="0" w:after="0"/>
              <w:ind w:left="-113"/>
              <w:jc w:val="left"/>
              <w:rPr>
                <w:szCs w:val="22"/>
              </w:rPr>
            </w:pPr>
          </w:p>
        </w:tc>
        <w:tc>
          <w:tcPr>
            <w:tcW w:w="512" w:type="dxa"/>
            <w:shd w:val="clear" w:color="auto" w:fill="auto"/>
            <w:vAlign w:val="bottom"/>
          </w:tcPr>
          <w:p w:rsidR="00D945C2" w:rsidRPr="00C54AE7" w:rsidRDefault="00D945C2" w:rsidP="00EE598D">
            <w:pPr>
              <w:pStyle w:val="StandardBlock"/>
              <w:spacing w:before="0" w:after="0"/>
              <w:ind w:left="-113"/>
              <w:jc w:val="left"/>
              <w:rPr>
                <w:szCs w:val="22"/>
              </w:rPr>
            </w:pPr>
          </w:p>
        </w:tc>
        <w:tc>
          <w:tcPr>
            <w:tcW w:w="1987" w:type="dxa"/>
            <w:tcBorders>
              <w:bottom w:val="single" w:sz="4" w:space="0" w:color="auto"/>
            </w:tcBorders>
            <w:shd w:val="clear" w:color="auto" w:fill="auto"/>
            <w:vAlign w:val="bottom"/>
          </w:tcPr>
          <w:p w:rsidR="00D945C2" w:rsidRPr="00C54AE7" w:rsidRDefault="00D945C2" w:rsidP="00EE598D">
            <w:pPr>
              <w:pStyle w:val="StandardBlock"/>
              <w:spacing w:before="0" w:after="0"/>
              <w:ind w:left="-113"/>
              <w:jc w:val="left"/>
              <w:rPr>
                <w:szCs w:val="22"/>
              </w:rPr>
            </w:pPr>
            <w:r w:rsidRPr="00C54AE7">
              <w:rPr>
                <w:szCs w:val="22"/>
              </w:rPr>
              <w:fldChar w:fldCharType="begin">
                <w:ffData>
                  <w:name w:val=""/>
                  <w:enabled/>
                  <w:calcOnExit w:val="0"/>
                  <w:textInput/>
                </w:ffData>
              </w:fldChar>
            </w:r>
            <w:r w:rsidRPr="00C54AE7">
              <w:rPr>
                <w:szCs w:val="22"/>
              </w:rPr>
              <w:instrText xml:space="preserve"> FORMTEXT </w:instrText>
            </w:r>
            <w:r w:rsidRPr="00C54AE7">
              <w:rPr>
                <w:szCs w:val="22"/>
              </w:rPr>
            </w:r>
            <w:r w:rsidRPr="00C54AE7">
              <w:rPr>
                <w:szCs w:val="22"/>
              </w:rPr>
              <w:fldChar w:fldCharType="separate"/>
            </w:r>
            <w:r w:rsidRPr="00C54AE7">
              <w:rPr>
                <w:noProof/>
                <w:szCs w:val="22"/>
              </w:rPr>
              <w:t> </w:t>
            </w:r>
            <w:r w:rsidRPr="00C54AE7">
              <w:rPr>
                <w:noProof/>
                <w:szCs w:val="22"/>
              </w:rPr>
              <w:t> </w:t>
            </w:r>
            <w:r w:rsidRPr="00C54AE7">
              <w:rPr>
                <w:noProof/>
                <w:szCs w:val="22"/>
              </w:rPr>
              <w:t> </w:t>
            </w:r>
            <w:r w:rsidRPr="00C54AE7">
              <w:rPr>
                <w:noProof/>
                <w:szCs w:val="22"/>
              </w:rPr>
              <w:t> </w:t>
            </w:r>
            <w:r w:rsidRPr="00C54AE7">
              <w:rPr>
                <w:noProof/>
                <w:szCs w:val="22"/>
              </w:rPr>
              <w:t> </w:t>
            </w:r>
            <w:r w:rsidRPr="00C54AE7">
              <w:rPr>
                <w:szCs w:val="22"/>
              </w:rPr>
              <w:fldChar w:fldCharType="end"/>
            </w:r>
          </w:p>
        </w:tc>
        <w:tc>
          <w:tcPr>
            <w:tcW w:w="236" w:type="dxa"/>
            <w:shd w:val="clear" w:color="auto" w:fill="auto"/>
            <w:vAlign w:val="bottom"/>
          </w:tcPr>
          <w:p w:rsidR="00D945C2" w:rsidRPr="00C54AE7" w:rsidRDefault="00D945C2" w:rsidP="00EE598D">
            <w:pPr>
              <w:pStyle w:val="StandardBlock"/>
              <w:spacing w:before="0" w:after="0"/>
              <w:ind w:left="-113"/>
              <w:jc w:val="left"/>
              <w:rPr>
                <w:szCs w:val="22"/>
              </w:rPr>
            </w:pPr>
          </w:p>
        </w:tc>
        <w:tc>
          <w:tcPr>
            <w:tcW w:w="2222" w:type="dxa"/>
            <w:tcBorders>
              <w:bottom w:val="single" w:sz="4" w:space="0" w:color="auto"/>
            </w:tcBorders>
            <w:shd w:val="clear" w:color="auto" w:fill="auto"/>
            <w:vAlign w:val="bottom"/>
          </w:tcPr>
          <w:p w:rsidR="00D945C2" w:rsidRPr="00C54AE7" w:rsidRDefault="00D945C2" w:rsidP="00EE598D">
            <w:pPr>
              <w:pStyle w:val="StandardBlock"/>
              <w:spacing w:before="0" w:after="0"/>
              <w:ind w:left="-113"/>
              <w:jc w:val="left"/>
              <w:rPr>
                <w:szCs w:val="22"/>
              </w:rPr>
            </w:pPr>
          </w:p>
        </w:tc>
      </w:tr>
      <w:tr w:rsidR="00D945C2" w:rsidRPr="00C54AE7" w:rsidTr="00010823">
        <w:trPr>
          <w:trHeight w:hRule="exact" w:val="23"/>
        </w:trPr>
        <w:tc>
          <w:tcPr>
            <w:tcW w:w="1941" w:type="dxa"/>
            <w:tcBorders>
              <w:top w:val="single" w:sz="4" w:space="0" w:color="auto"/>
            </w:tcBorders>
            <w:shd w:val="clear" w:color="auto" w:fill="auto"/>
          </w:tcPr>
          <w:p w:rsidR="00D945C2" w:rsidRPr="00C54AE7" w:rsidRDefault="00D945C2" w:rsidP="00EE598D">
            <w:pPr>
              <w:pStyle w:val="StandardBlock"/>
              <w:spacing w:before="0" w:after="0"/>
              <w:ind w:left="-113"/>
              <w:jc w:val="left"/>
              <w:rPr>
                <w:szCs w:val="22"/>
              </w:rPr>
            </w:pPr>
          </w:p>
        </w:tc>
        <w:tc>
          <w:tcPr>
            <w:tcW w:w="236" w:type="dxa"/>
            <w:shd w:val="clear" w:color="auto" w:fill="auto"/>
          </w:tcPr>
          <w:p w:rsidR="00D945C2" w:rsidRPr="00C54AE7" w:rsidRDefault="00D945C2" w:rsidP="00EE598D">
            <w:pPr>
              <w:pStyle w:val="StandardBlock"/>
              <w:spacing w:before="0" w:after="0"/>
              <w:ind w:left="-113"/>
              <w:jc w:val="left"/>
              <w:rPr>
                <w:szCs w:val="22"/>
              </w:rPr>
            </w:pPr>
          </w:p>
        </w:tc>
        <w:tc>
          <w:tcPr>
            <w:tcW w:w="2225" w:type="dxa"/>
            <w:tcBorders>
              <w:top w:val="single" w:sz="4" w:space="0" w:color="auto"/>
            </w:tcBorders>
            <w:shd w:val="clear" w:color="auto" w:fill="auto"/>
          </w:tcPr>
          <w:p w:rsidR="00D945C2" w:rsidRPr="00C54AE7" w:rsidRDefault="00D945C2" w:rsidP="00EE598D">
            <w:pPr>
              <w:pStyle w:val="StandardBlock"/>
              <w:spacing w:before="0" w:after="0"/>
              <w:ind w:left="-113"/>
              <w:jc w:val="left"/>
              <w:rPr>
                <w:szCs w:val="22"/>
              </w:rPr>
            </w:pPr>
          </w:p>
        </w:tc>
        <w:tc>
          <w:tcPr>
            <w:tcW w:w="512" w:type="dxa"/>
            <w:shd w:val="clear" w:color="auto" w:fill="auto"/>
          </w:tcPr>
          <w:p w:rsidR="00D945C2" w:rsidRPr="00C54AE7" w:rsidRDefault="00D945C2" w:rsidP="00EE598D">
            <w:pPr>
              <w:pStyle w:val="StandardBlock"/>
              <w:spacing w:before="0" w:after="0"/>
              <w:ind w:left="-113"/>
              <w:jc w:val="left"/>
              <w:rPr>
                <w:szCs w:val="22"/>
              </w:rPr>
            </w:pPr>
          </w:p>
        </w:tc>
        <w:tc>
          <w:tcPr>
            <w:tcW w:w="1987" w:type="dxa"/>
            <w:tcBorders>
              <w:top w:val="single" w:sz="4" w:space="0" w:color="auto"/>
            </w:tcBorders>
            <w:shd w:val="clear" w:color="auto" w:fill="auto"/>
          </w:tcPr>
          <w:p w:rsidR="00D945C2" w:rsidRPr="00C54AE7" w:rsidRDefault="00D945C2" w:rsidP="00EE598D">
            <w:pPr>
              <w:pStyle w:val="StandardBlock"/>
              <w:spacing w:before="0" w:after="0"/>
              <w:ind w:left="-113"/>
              <w:jc w:val="left"/>
              <w:rPr>
                <w:szCs w:val="22"/>
              </w:rPr>
            </w:pPr>
          </w:p>
        </w:tc>
        <w:tc>
          <w:tcPr>
            <w:tcW w:w="236" w:type="dxa"/>
            <w:shd w:val="clear" w:color="auto" w:fill="auto"/>
          </w:tcPr>
          <w:p w:rsidR="00D945C2" w:rsidRPr="00C54AE7" w:rsidRDefault="00D945C2" w:rsidP="00EE598D">
            <w:pPr>
              <w:pStyle w:val="StandardBlock"/>
              <w:spacing w:before="0" w:after="0"/>
              <w:ind w:left="-113"/>
              <w:jc w:val="left"/>
              <w:rPr>
                <w:szCs w:val="22"/>
              </w:rPr>
            </w:pPr>
          </w:p>
        </w:tc>
        <w:tc>
          <w:tcPr>
            <w:tcW w:w="2222" w:type="dxa"/>
            <w:tcBorders>
              <w:top w:val="single" w:sz="4" w:space="0" w:color="auto"/>
            </w:tcBorders>
            <w:shd w:val="clear" w:color="auto" w:fill="auto"/>
          </w:tcPr>
          <w:p w:rsidR="00D945C2" w:rsidRPr="00C54AE7" w:rsidRDefault="00D945C2" w:rsidP="00EE598D">
            <w:pPr>
              <w:pStyle w:val="StandardBlock"/>
              <w:spacing w:before="0" w:after="0"/>
              <w:ind w:left="-113"/>
              <w:jc w:val="left"/>
              <w:rPr>
                <w:szCs w:val="22"/>
              </w:rPr>
            </w:pPr>
          </w:p>
        </w:tc>
      </w:tr>
      <w:tr w:rsidR="00D945C2" w:rsidRPr="00C54AE7" w:rsidTr="00010823">
        <w:tc>
          <w:tcPr>
            <w:tcW w:w="1941" w:type="dxa"/>
            <w:shd w:val="clear" w:color="auto" w:fill="auto"/>
          </w:tcPr>
          <w:p w:rsidR="00D945C2" w:rsidRPr="00C54AE7" w:rsidRDefault="00D945C2" w:rsidP="00EE598D">
            <w:pPr>
              <w:pStyle w:val="StandardBlock"/>
              <w:spacing w:before="0" w:after="0"/>
              <w:ind w:left="-113"/>
              <w:jc w:val="left"/>
              <w:rPr>
                <w:sz w:val="18"/>
                <w:szCs w:val="18"/>
              </w:rPr>
            </w:pPr>
            <w:r w:rsidRPr="00C54AE7">
              <w:rPr>
                <w:sz w:val="18"/>
                <w:szCs w:val="18"/>
              </w:rPr>
              <w:t>Name</w:t>
            </w:r>
          </w:p>
        </w:tc>
        <w:tc>
          <w:tcPr>
            <w:tcW w:w="236" w:type="dxa"/>
            <w:shd w:val="clear" w:color="auto" w:fill="auto"/>
          </w:tcPr>
          <w:p w:rsidR="00D945C2" w:rsidRPr="00C54AE7" w:rsidRDefault="00D945C2" w:rsidP="00EE598D">
            <w:pPr>
              <w:pStyle w:val="StandardBlock"/>
              <w:spacing w:before="0" w:after="0"/>
              <w:ind w:left="-113"/>
              <w:jc w:val="left"/>
              <w:rPr>
                <w:sz w:val="18"/>
                <w:szCs w:val="18"/>
              </w:rPr>
            </w:pPr>
          </w:p>
        </w:tc>
        <w:tc>
          <w:tcPr>
            <w:tcW w:w="2225" w:type="dxa"/>
            <w:shd w:val="clear" w:color="auto" w:fill="auto"/>
          </w:tcPr>
          <w:p w:rsidR="00D945C2" w:rsidRPr="00C54AE7" w:rsidRDefault="00D945C2" w:rsidP="00EE598D">
            <w:pPr>
              <w:pStyle w:val="StandardBlock"/>
              <w:spacing w:before="0" w:after="0"/>
              <w:ind w:left="-113"/>
              <w:jc w:val="left"/>
              <w:rPr>
                <w:sz w:val="18"/>
                <w:szCs w:val="18"/>
              </w:rPr>
            </w:pPr>
            <w:r w:rsidRPr="00C54AE7">
              <w:rPr>
                <w:sz w:val="18"/>
                <w:szCs w:val="18"/>
              </w:rPr>
              <w:t>Unterschrift</w:t>
            </w:r>
          </w:p>
        </w:tc>
        <w:tc>
          <w:tcPr>
            <w:tcW w:w="512" w:type="dxa"/>
            <w:shd w:val="clear" w:color="auto" w:fill="auto"/>
          </w:tcPr>
          <w:p w:rsidR="00D945C2" w:rsidRPr="00C54AE7" w:rsidRDefault="00D945C2" w:rsidP="00EE598D">
            <w:pPr>
              <w:pStyle w:val="StandardBlock"/>
              <w:spacing w:before="0" w:after="0"/>
              <w:ind w:left="-113"/>
              <w:jc w:val="left"/>
              <w:rPr>
                <w:sz w:val="18"/>
                <w:szCs w:val="18"/>
              </w:rPr>
            </w:pPr>
          </w:p>
        </w:tc>
        <w:tc>
          <w:tcPr>
            <w:tcW w:w="1987" w:type="dxa"/>
            <w:shd w:val="clear" w:color="auto" w:fill="auto"/>
          </w:tcPr>
          <w:p w:rsidR="00D945C2" w:rsidRPr="00C54AE7" w:rsidRDefault="00D945C2" w:rsidP="00EE598D">
            <w:pPr>
              <w:pStyle w:val="StandardBlock"/>
              <w:spacing w:before="0" w:after="0"/>
              <w:ind w:left="-113"/>
              <w:jc w:val="left"/>
              <w:rPr>
                <w:sz w:val="18"/>
                <w:szCs w:val="18"/>
              </w:rPr>
            </w:pPr>
            <w:r w:rsidRPr="00C54AE7">
              <w:rPr>
                <w:sz w:val="18"/>
                <w:szCs w:val="18"/>
              </w:rPr>
              <w:t>Name</w:t>
            </w:r>
          </w:p>
        </w:tc>
        <w:tc>
          <w:tcPr>
            <w:tcW w:w="236" w:type="dxa"/>
            <w:shd w:val="clear" w:color="auto" w:fill="auto"/>
          </w:tcPr>
          <w:p w:rsidR="00D945C2" w:rsidRPr="00C54AE7" w:rsidRDefault="00D945C2" w:rsidP="00EE598D">
            <w:pPr>
              <w:pStyle w:val="StandardBlock"/>
              <w:spacing w:before="0" w:after="0"/>
              <w:ind w:left="-113"/>
              <w:jc w:val="left"/>
              <w:rPr>
                <w:sz w:val="18"/>
                <w:szCs w:val="18"/>
              </w:rPr>
            </w:pPr>
          </w:p>
        </w:tc>
        <w:tc>
          <w:tcPr>
            <w:tcW w:w="2222" w:type="dxa"/>
            <w:shd w:val="clear" w:color="auto" w:fill="auto"/>
          </w:tcPr>
          <w:p w:rsidR="00D945C2" w:rsidRPr="00C54AE7" w:rsidRDefault="00D945C2" w:rsidP="00EE598D">
            <w:pPr>
              <w:pStyle w:val="StandardBlock"/>
              <w:spacing w:before="0" w:after="0"/>
              <w:ind w:left="-113"/>
              <w:jc w:val="left"/>
              <w:rPr>
                <w:sz w:val="18"/>
                <w:szCs w:val="18"/>
              </w:rPr>
            </w:pPr>
            <w:r w:rsidRPr="00C54AE7">
              <w:rPr>
                <w:sz w:val="18"/>
                <w:szCs w:val="18"/>
              </w:rPr>
              <w:t>Unterschrift QM</w:t>
            </w:r>
          </w:p>
        </w:tc>
      </w:tr>
    </w:tbl>
    <w:p w:rsidR="003955EE" w:rsidRPr="00495F1B" w:rsidRDefault="003955EE" w:rsidP="003955EE">
      <w:pPr>
        <w:tabs>
          <w:tab w:val="clear" w:pos="2552"/>
          <w:tab w:val="clear" w:pos="4536"/>
          <w:tab w:val="left" w:pos="1418"/>
          <w:tab w:val="left" w:pos="2160"/>
        </w:tabs>
        <w:rPr>
          <w:lang w:val="en-GB"/>
        </w:rPr>
      </w:pPr>
    </w:p>
    <w:p w:rsidR="00B53EE4" w:rsidRPr="00495F1B" w:rsidRDefault="00B53EE4" w:rsidP="00D945C2">
      <w:pPr>
        <w:pStyle w:val="StandardBlock"/>
        <w:rPr>
          <w:sz w:val="2"/>
          <w:szCs w:val="2"/>
        </w:rPr>
      </w:pPr>
    </w:p>
    <w:sectPr w:rsidR="00B53EE4" w:rsidRPr="00495F1B" w:rsidSect="009A31AF">
      <w:headerReference w:type="even" r:id="rId11"/>
      <w:headerReference w:type="default" r:id="rId12"/>
      <w:footerReference w:type="even" r:id="rId13"/>
      <w:footerReference w:type="default" r:id="rId14"/>
      <w:headerReference w:type="first" r:id="rId15"/>
      <w:footerReference w:type="first" r:id="rId16"/>
      <w:pgSz w:w="11906" w:h="16838" w:code="9"/>
      <w:pgMar w:top="1701" w:right="1106" w:bottom="1247" w:left="119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D12" w:rsidRDefault="00682D12">
      <w:r>
        <w:separator/>
      </w:r>
    </w:p>
  </w:endnote>
  <w:endnote w:type="continuationSeparator" w:id="0">
    <w:p w:rsidR="00682D12" w:rsidRDefault="0068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F4" w:rsidRDefault="00EC22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DD" w:rsidRPr="00AB0E8D" w:rsidRDefault="004832DD">
    <w:pPr>
      <w:pStyle w:val="Kopfzeile"/>
      <w:tabs>
        <w:tab w:val="clear" w:pos="9072"/>
        <w:tab w:val="left" w:pos="4536"/>
      </w:tabs>
      <w:rPr>
        <w:sz w:val="4"/>
        <w:szCs w:val="4"/>
      </w:rPr>
    </w:pPr>
  </w:p>
  <w:tbl>
    <w:tblPr>
      <w:tblW w:w="9766" w:type="dxa"/>
      <w:tblBorders>
        <w:insideH w:val="single" w:sz="4" w:space="0" w:color="auto"/>
      </w:tblBorders>
      <w:tblLayout w:type="fixed"/>
      <w:tblCellMar>
        <w:left w:w="70" w:type="dxa"/>
        <w:right w:w="70" w:type="dxa"/>
      </w:tblCellMar>
      <w:tblLook w:val="0000" w:firstRow="0" w:lastRow="0" w:firstColumn="0" w:lastColumn="0" w:noHBand="0" w:noVBand="0"/>
    </w:tblPr>
    <w:tblGrid>
      <w:gridCol w:w="2590"/>
      <w:gridCol w:w="4072"/>
      <w:gridCol w:w="3104"/>
    </w:tblGrid>
    <w:tr w:rsidR="004832DD" w:rsidRPr="0098522C" w:rsidTr="00D17322">
      <w:tc>
        <w:tcPr>
          <w:tcW w:w="2590" w:type="dxa"/>
        </w:tcPr>
        <w:p w:rsidR="004832DD" w:rsidRPr="0098522C" w:rsidRDefault="004832DD">
          <w:pPr>
            <w:pStyle w:val="Kopfzeile"/>
            <w:tabs>
              <w:tab w:val="clear" w:pos="2552"/>
              <w:tab w:val="clear" w:pos="4536"/>
              <w:tab w:val="clear" w:pos="6804"/>
              <w:tab w:val="right" w:pos="10206"/>
            </w:tabs>
            <w:rPr>
              <w:sz w:val="16"/>
              <w:szCs w:val="16"/>
              <w:lang w:val="en-US"/>
            </w:rPr>
          </w:pPr>
        </w:p>
      </w:tc>
      <w:tc>
        <w:tcPr>
          <w:tcW w:w="4072" w:type="dxa"/>
        </w:tcPr>
        <w:p w:rsidR="004832DD" w:rsidRPr="0098522C" w:rsidRDefault="00864E1C">
          <w:pPr>
            <w:pStyle w:val="Kopfzeile"/>
            <w:tabs>
              <w:tab w:val="clear" w:pos="2552"/>
              <w:tab w:val="clear" w:pos="4536"/>
              <w:tab w:val="clear" w:pos="6804"/>
              <w:tab w:val="right" w:pos="10206"/>
            </w:tabs>
            <w:jc w:val="center"/>
            <w:rPr>
              <w:sz w:val="16"/>
              <w:szCs w:val="16"/>
              <w:lang w:val="en-US"/>
            </w:rPr>
          </w:pPr>
          <w:r>
            <w:rPr>
              <w:snapToGrid w:val="0"/>
              <w:sz w:val="16"/>
              <w:szCs w:val="16"/>
              <w:lang w:val="en-US"/>
            </w:rPr>
            <w:t>Seite</w:t>
          </w:r>
          <w:r w:rsidR="004832DD" w:rsidRPr="0098522C">
            <w:rPr>
              <w:snapToGrid w:val="0"/>
              <w:sz w:val="16"/>
              <w:szCs w:val="16"/>
              <w:lang w:val="en-US"/>
            </w:rPr>
            <w:t xml:space="preserve"> </w:t>
          </w:r>
          <w:r w:rsidR="004832DD" w:rsidRPr="0098522C">
            <w:rPr>
              <w:snapToGrid w:val="0"/>
              <w:sz w:val="16"/>
              <w:szCs w:val="16"/>
              <w:lang w:val="en-US"/>
            </w:rPr>
            <w:fldChar w:fldCharType="begin"/>
          </w:r>
          <w:r w:rsidR="004832DD" w:rsidRPr="0098522C">
            <w:rPr>
              <w:snapToGrid w:val="0"/>
              <w:sz w:val="16"/>
              <w:szCs w:val="16"/>
              <w:lang w:val="en-US"/>
            </w:rPr>
            <w:instrText xml:space="preserve"> PAGE </w:instrText>
          </w:r>
          <w:r w:rsidR="004832DD" w:rsidRPr="0098522C">
            <w:rPr>
              <w:snapToGrid w:val="0"/>
              <w:sz w:val="16"/>
              <w:szCs w:val="16"/>
              <w:lang w:val="en-US"/>
            </w:rPr>
            <w:fldChar w:fldCharType="separate"/>
          </w:r>
          <w:r w:rsidR="00F95E3B">
            <w:rPr>
              <w:noProof/>
              <w:snapToGrid w:val="0"/>
              <w:sz w:val="16"/>
              <w:szCs w:val="16"/>
              <w:lang w:val="en-US"/>
            </w:rPr>
            <w:t>2</w:t>
          </w:r>
          <w:r w:rsidR="004832DD" w:rsidRPr="0098522C">
            <w:rPr>
              <w:snapToGrid w:val="0"/>
              <w:sz w:val="16"/>
              <w:szCs w:val="16"/>
              <w:lang w:val="en-US"/>
            </w:rPr>
            <w:fldChar w:fldCharType="end"/>
          </w:r>
          <w:r>
            <w:rPr>
              <w:snapToGrid w:val="0"/>
              <w:sz w:val="16"/>
              <w:szCs w:val="16"/>
              <w:lang w:val="en-US"/>
            </w:rPr>
            <w:t xml:space="preserve"> von</w:t>
          </w:r>
          <w:r w:rsidR="004832DD" w:rsidRPr="0098522C">
            <w:rPr>
              <w:snapToGrid w:val="0"/>
              <w:sz w:val="16"/>
              <w:szCs w:val="16"/>
              <w:lang w:val="en-US"/>
            </w:rPr>
            <w:t xml:space="preserve"> </w:t>
          </w:r>
          <w:r w:rsidR="004832DD" w:rsidRPr="0098522C">
            <w:rPr>
              <w:snapToGrid w:val="0"/>
              <w:sz w:val="16"/>
              <w:szCs w:val="16"/>
              <w:lang w:val="en-US"/>
            </w:rPr>
            <w:fldChar w:fldCharType="begin"/>
          </w:r>
          <w:r w:rsidR="004832DD" w:rsidRPr="0098522C">
            <w:rPr>
              <w:snapToGrid w:val="0"/>
              <w:sz w:val="16"/>
              <w:szCs w:val="16"/>
              <w:lang w:val="en-US"/>
            </w:rPr>
            <w:instrText xml:space="preserve"> NUMPAGES </w:instrText>
          </w:r>
          <w:r w:rsidR="004832DD" w:rsidRPr="0098522C">
            <w:rPr>
              <w:snapToGrid w:val="0"/>
              <w:sz w:val="16"/>
              <w:szCs w:val="16"/>
              <w:lang w:val="en-US"/>
            </w:rPr>
            <w:fldChar w:fldCharType="separate"/>
          </w:r>
          <w:r w:rsidR="00F95E3B">
            <w:rPr>
              <w:noProof/>
              <w:snapToGrid w:val="0"/>
              <w:sz w:val="16"/>
              <w:szCs w:val="16"/>
              <w:lang w:val="en-US"/>
            </w:rPr>
            <w:t>13</w:t>
          </w:r>
          <w:r w:rsidR="004832DD" w:rsidRPr="0098522C">
            <w:rPr>
              <w:snapToGrid w:val="0"/>
              <w:sz w:val="16"/>
              <w:szCs w:val="16"/>
              <w:lang w:val="en-US"/>
            </w:rPr>
            <w:fldChar w:fldCharType="end"/>
          </w:r>
        </w:p>
      </w:tc>
      <w:tc>
        <w:tcPr>
          <w:tcW w:w="3104" w:type="dxa"/>
        </w:tcPr>
        <w:p w:rsidR="004832DD" w:rsidRPr="0098522C" w:rsidRDefault="00010823" w:rsidP="00C93F23">
          <w:pPr>
            <w:pStyle w:val="Kopfzeile"/>
            <w:tabs>
              <w:tab w:val="clear" w:pos="2552"/>
              <w:tab w:val="clear" w:pos="4536"/>
              <w:tab w:val="clear" w:pos="6804"/>
              <w:tab w:val="right" w:pos="10206"/>
            </w:tabs>
            <w:jc w:val="right"/>
            <w:rPr>
              <w:sz w:val="16"/>
              <w:szCs w:val="16"/>
              <w:lang w:val="en-US"/>
            </w:rPr>
          </w:pPr>
          <w:r>
            <w:rPr>
              <w:sz w:val="16"/>
              <w:szCs w:val="16"/>
              <w:lang w:val="en-US"/>
            </w:rPr>
            <w:t>Ausgabe: 2018-</w:t>
          </w:r>
          <w:r w:rsidR="00EC22F4">
            <w:rPr>
              <w:sz w:val="16"/>
              <w:szCs w:val="16"/>
              <w:lang w:val="en-US"/>
            </w:rPr>
            <w:t>11</w:t>
          </w:r>
          <w:r w:rsidR="00636C40">
            <w:rPr>
              <w:sz w:val="16"/>
              <w:szCs w:val="16"/>
              <w:lang w:val="en-US"/>
            </w:rPr>
            <w:t>-2</w:t>
          </w:r>
          <w:r w:rsidR="00EC22F4">
            <w:rPr>
              <w:sz w:val="16"/>
              <w:szCs w:val="16"/>
              <w:lang w:val="en-US"/>
            </w:rPr>
            <w:t>1</w:t>
          </w:r>
        </w:p>
      </w:tc>
    </w:tr>
  </w:tbl>
  <w:p w:rsidR="004832DD" w:rsidRDefault="004832DD">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31"/>
      <w:gridCol w:w="3331"/>
      <w:gridCol w:w="3128"/>
    </w:tblGrid>
    <w:tr w:rsidR="004832DD" w:rsidTr="00D17322">
      <w:tc>
        <w:tcPr>
          <w:tcW w:w="3331" w:type="dxa"/>
        </w:tcPr>
        <w:p w:rsidR="004832DD" w:rsidRPr="00DE2FC1" w:rsidRDefault="00DB7B28">
          <w:pPr>
            <w:pStyle w:val="Kopfzeile"/>
            <w:tabs>
              <w:tab w:val="clear" w:pos="2552"/>
              <w:tab w:val="clear" w:pos="4536"/>
              <w:tab w:val="clear" w:pos="6804"/>
              <w:tab w:val="right" w:pos="10206"/>
            </w:tabs>
            <w:rPr>
              <w:sz w:val="16"/>
              <w:szCs w:val="16"/>
            </w:rPr>
          </w:pPr>
          <w:r>
            <w:rPr>
              <w:sz w:val="16"/>
              <w:szCs w:val="16"/>
            </w:rPr>
            <w:t>Q</w:t>
          </w:r>
          <w:r w:rsidR="005231F1">
            <w:rPr>
              <w:sz w:val="16"/>
              <w:szCs w:val="16"/>
            </w:rPr>
            <w:t>SV mit</w:t>
          </w:r>
          <w:r>
            <w:rPr>
              <w:sz w:val="16"/>
              <w:szCs w:val="16"/>
            </w:rPr>
            <w:t xml:space="preserve"> Aerospace</w:t>
          </w:r>
          <w:r w:rsidR="005231F1">
            <w:rPr>
              <w:sz w:val="16"/>
              <w:szCs w:val="16"/>
            </w:rPr>
            <w:t>-Lieferanten</w:t>
          </w:r>
        </w:p>
      </w:tc>
      <w:tc>
        <w:tcPr>
          <w:tcW w:w="3331" w:type="dxa"/>
          <w:vAlign w:val="center"/>
        </w:tcPr>
        <w:p w:rsidR="004832DD" w:rsidRPr="00DE2FC1" w:rsidRDefault="00864E1C">
          <w:pPr>
            <w:pStyle w:val="Kopfzeile"/>
            <w:tabs>
              <w:tab w:val="clear" w:pos="2552"/>
              <w:tab w:val="clear" w:pos="4536"/>
              <w:tab w:val="clear" w:pos="6804"/>
              <w:tab w:val="right" w:pos="10206"/>
            </w:tabs>
            <w:jc w:val="center"/>
            <w:rPr>
              <w:sz w:val="16"/>
              <w:szCs w:val="16"/>
            </w:rPr>
          </w:pPr>
          <w:r>
            <w:rPr>
              <w:snapToGrid w:val="0"/>
              <w:sz w:val="16"/>
              <w:szCs w:val="16"/>
            </w:rPr>
            <w:t>Seite</w:t>
          </w:r>
          <w:r w:rsidR="004832DD" w:rsidRPr="00DE2FC1">
            <w:rPr>
              <w:snapToGrid w:val="0"/>
              <w:sz w:val="16"/>
              <w:szCs w:val="16"/>
            </w:rPr>
            <w:t xml:space="preserve"> </w:t>
          </w:r>
          <w:r w:rsidR="004832DD" w:rsidRPr="00DE2FC1">
            <w:rPr>
              <w:snapToGrid w:val="0"/>
              <w:sz w:val="16"/>
              <w:szCs w:val="16"/>
            </w:rPr>
            <w:fldChar w:fldCharType="begin"/>
          </w:r>
          <w:r w:rsidR="004832DD" w:rsidRPr="00DE2FC1">
            <w:rPr>
              <w:snapToGrid w:val="0"/>
              <w:sz w:val="16"/>
              <w:szCs w:val="16"/>
            </w:rPr>
            <w:instrText xml:space="preserve"> PAGE </w:instrText>
          </w:r>
          <w:r w:rsidR="004832DD" w:rsidRPr="00DE2FC1">
            <w:rPr>
              <w:snapToGrid w:val="0"/>
              <w:sz w:val="16"/>
              <w:szCs w:val="16"/>
            </w:rPr>
            <w:fldChar w:fldCharType="separate"/>
          </w:r>
          <w:r w:rsidR="00F95E3B">
            <w:rPr>
              <w:noProof/>
              <w:snapToGrid w:val="0"/>
              <w:sz w:val="16"/>
              <w:szCs w:val="16"/>
            </w:rPr>
            <w:t>1</w:t>
          </w:r>
          <w:r w:rsidR="004832DD" w:rsidRPr="00DE2FC1">
            <w:rPr>
              <w:snapToGrid w:val="0"/>
              <w:sz w:val="16"/>
              <w:szCs w:val="16"/>
            </w:rPr>
            <w:fldChar w:fldCharType="end"/>
          </w:r>
          <w:r w:rsidR="004832DD" w:rsidRPr="00DE2FC1">
            <w:rPr>
              <w:snapToGrid w:val="0"/>
              <w:sz w:val="16"/>
              <w:szCs w:val="16"/>
            </w:rPr>
            <w:t xml:space="preserve"> </w:t>
          </w:r>
          <w:r>
            <w:rPr>
              <w:snapToGrid w:val="0"/>
              <w:sz w:val="16"/>
              <w:szCs w:val="16"/>
            </w:rPr>
            <w:t>von</w:t>
          </w:r>
          <w:r w:rsidR="004832DD" w:rsidRPr="00DE2FC1">
            <w:rPr>
              <w:snapToGrid w:val="0"/>
              <w:sz w:val="16"/>
              <w:szCs w:val="16"/>
            </w:rPr>
            <w:t xml:space="preserve"> </w:t>
          </w:r>
          <w:r w:rsidR="004832DD" w:rsidRPr="00DE2FC1">
            <w:rPr>
              <w:snapToGrid w:val="0"/>
              <w:sz w:val="16"/>
              <w:szCs w:val="16"/>
            </w:rPr>
            <w:fldChar w:fldCharType="begin"/>
          </w:r>
          <w:r w:rsidR="004832DD" w:rsidRPr="00DE2FC1">
            <w:rPr>
              <w:snapToGrid w:val="0"/>
              <w:sz w:val="16"/>
              <w:szCs w:val="16"/>
            </w:rPr>
            <w:instrText xml:space="preserve"> NUMPAGES </w:instrText>
          </w:r>
          <w:r w:rsidR="004832DD" w:rsidRPr="00DE2FC1">
            <w:rPr>
              <w:snapToGrid w:val="0"/>
              <w:sz w:val="16"/>
              <w:szCs w:val="16"/>
            </w:rPr>
            <w:fldChar w:fldCharType="separate"/>
          </w:r>
          <w:r w:rsidR="00F95E3B">
            <w:rPr>
              <w:noProof/>
              <w:snapToGrid w:val="0"/>
              <w:sz w:val="16"/>
              <w:szCs w:val="16"/>
            </w:rPr>
            <w:t>13</w:t>
          </w:r>
          <w:r w:rsidR="004832DD" w:rsidRPr="00DE2FC1">
            <w:rPr>
              <w:snapToGrid w:val="0"/>
              <w:sz w:val="16"/>
              <w:szCs w:val="16"/>
            </w:rPr>
            <w:fldChar w:fldCharType="end"/>
          </w:r>
        </w:p>
      </w:tc>
      <w:tc>
        <w:tcPr>
          <w:tcW w:w="3128" w:type="dxa"/>
          <w:vAlign w:val="center"/>
        </w:tcPr>
        <w:p w:rsidR="004832DD" w:rsidRPr="00DE2FC1" w:rsidRDefault="00EC22F4" w:rsidP="008F5839">
          <w:pPr>
            <w:pStyle w:val="Kopfzeile"/>
            <w:tabs>
              <w:tab w:val="clear" w:pos="2552"/>
              <w:tab w:val="clear" w:pos="4536"/>
              <w:tab w:val="clear" w:pos="6804"/>
              <w:tab w:val="right" w:pos="10206"/>
            </w:tabs>
            <w:jc w:val="right"/>
            <w:rPr>
              <w:sz w:val="16"/>
              <w:szCs w:val="16"/>
            </w:rPr>
          </w:pPr>
          <w:r>
            <w:rPr>
              <w:sz w:val="16"/>
              <w:szCs w:val="16"/>
            </w:rPr>
            <w:t>Ausgabe: 2018-11</w:t>
          </w:r>
          <w:r w:rsidR="00636C40">
            <w:rPr>
              <w:sz w:val="16"/>
              <w:szCs w:val="16"/>
            </w:rPr>
            <w:t>-2</w:t>
          </w:r>
          <w:r>
            <w:rPr>
              <w:sz w:val="16"/>
              <w:szCs w:val="16"/>
            </w:rPr>
            <w:t>1</w:t>
          </w:r>
        </w:p>
      </w:tc>
    </w:tr>
  </w:tbl>
  <w:p w:rsidR="004832DD" w:rsidRDefault="00F95E3B">
    <w:pPr>
      <w:pStyle w:val="Fuzeile"/>
    </w:pPr>
    <w:r>
      <w:rPr>
        <w:noProof/>
        <w:lang w:eastAsia="zh-CN"/>
      </w:rPr>
      <w:pict>
        <v:rect id="_x0000_s2051" style="position:absolute;margin-left:59.55pt;margin-top:805.05pt;width:54pt;height:36pt;z-index:251656704;mso-position-horizontal-relative:page;mso-position-vertical-relative:page" filled="f"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D12" w:rsidRDefault="00682D12">
      <w:r>
        <w:separator/>
      </w:r>
    </w:p>
  </w:footnote>
  <w:footnote w:type="continuationSeparator" w:id="0">
    <w:p w:rsidR="00682D12" w:rsidRDefault="0068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DD" w:rsidRDefault="004832DD">
    <w:pPr>
      <w:pStyle w:val="Kopfzeile"/>
    </w:pPr>
    <w:r>
      <w:t xml:space="preserve">Seite </w:t>
    </w:r>
    <w:r>
      <w:fldChar w:fldCharType="begin"/>
    </w:r>
    <w:r>
      <w:instrText xml:space="preserve"> PAGE \* MERGEFORMAT </w:instrText>
    </w:r>
    <w:r>
      <w:fldChar w:fldCharType="separate"/>
    </w:r>
    <w:r>
      <w:rPr>
        <w:noProof/>
      </w:rPr>
      <w:t>1</w:t>
    </w:r>
    <w:r>
      <w:fldChar w:fldCharType="end"/>
    </w:r>
  </w:p>
  <w:p w:rsidR="004832DD" w:rsidRDefault="004832DD">
    <w:pPr>
      <w:tabs>
        <w:tab w:val="clear" w:pos="2552"/>
        <w:tab w:val="clear" w:pos="4536"/>
        <w:tab w:val="left" w:pos="1091"/>
        <w:tab w:val="left" w:pos="1276"/>
        <w:tab w:val="left" w:pos="1560"/>
      </w:tabs>
    </w:pPr>
    <w:r>
      <w:t xml:space="preserve">  Kopf wie Deckblatt, d. h. Logos + Referenzdokumente  ------gilt für alle folgenden Seiten!  </w:t>
    </w:r>
    <w:r>
      <w:fldChar w:fldCharType="begin"/>
    </w:r>
    <w:r>
      <w:instrText xml:space="preserve"> REF Datum \h </w:instrText>
    </w:r>
    <w:r>
      <w:fldChar w:fldCharType="separate"/>
    </w:r>
    <w:r w:rsidR="00E73D8A">
      <w:rPr>
        <w:b/>
        <w:bCs/>
      </w:rPr>
      <w:t>Fehler! Verweisquelle konnte nicht gefunden werden.</w:t>
    </w:r>
    <w:r>
      <w:fldChar w:fldCharType="end"/>
    </w:r>
  </w:p>
  <w:p w:rsidR="004832DD" w:rsidRDefault="004832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Layout w:type="fixed"/>
      <w:tblCellMar>
        <w:left w:w="70" w:type="dxa"/>
        <w:right w:w="70" w:type="dxa"/>
      </w:tblCellMar>
      <w:tblLook w:val="0000" w:firstRow="0" w:lastRow="0" w:firstColumn="0" w:lastColumn="0" w:noHBand="0" w:noVBand="0"/>
    </w:tblPr>
    <w:tblGrid>
      <w:gridCol w:w="1690"/>
      <w:gridCol w:w="8100"/>
    </w:tblGrid>
    <w:tr w:rsidR="004832DD" w:rsidTr="00204A0A">
      <w:trPr>
        <w:trHeight w:val="495"/>
      </w:trPr>
      <w:tc>
        <w:tcPr>
          <w:tcW w:w="1690" w:type="dxa"/>
          <w:vMerge w:val="restart"/>
        </w:tcPr>
        <w:p w:rsidR="004832DD" w:rsidRDefault="004832DD" w:rsidP="00695BE5">
          <w:pPr>
            <w:pStyle w:val="Titel"/>
            <w:spacing w:before="120"/>
          </w:pPr>
        </w:p>
      </w:tc>
      <w:tc>
        <w:tcPr>
          <w:tcW w:w="8100" w:type="dxa"/>
        </w:tcPr>
        <w:p w:rsidR="004832DD" w:rsidRDefault="00F95E3B" w:rsidP="00204A0A">
          <w:pPr>
            <w:pStyle w:val="Kopfzeil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8.5pt;visibility:visible;mso-wrap-style:square">
                <v:imagedata r:id="rId1" o:title=""/>
              </v:shape>
            </w:pict>
          </w:r>
        </w:p>
      </w:tc>
    </w:tr>
    <w:tr w:rsidR="004832DD" w:rsidRPr="0005747D" w:rsidTr="00204A0A">
      <w:trPr>
        <w:trHeight w:val="495"/>
      </w:trPr>
      <w:tc>
        <w:tcPr>
          <w:tcW w:w="1690" w:type="dxa"/>
          <w:vMerge/>
        </w:tcPr>
        <w:p w:rsidR="004832DD" w:rsidRPr="0005747D" w:rsidRDefault="004832DD" w:rsidP="00695BE5">
          <w:pPr>
            <w:pStyle w:val="Titel"/>
            <w:spacing w:before="120"/>
            <w:rPr>
              <w:lang w:val="en-US"/>
            </w:rPr>
          </w:pPr>
        </w:p>
      </w:tc>
      <w:tc>
        <w:tcPr>
          <w:tcW w:w="8100" w:type="dxa"/>
          <w:vAlign w:val="center"/>
        </w:tcPr>
        <w:p w:rsidR="004832DD" w:rsidRPr="0005747D" w:rsidRDefault="004832DD" w:rsidP="005E3DA5">
          <w:pPr>
            <w:pStyle w:val="Kopfzeile"/>
            <w:jc w:val="right"/>
            <w:rPr>
              <w:lang w:val="en-US"/>
            </w:rPr>
          </w:pPr>
          <w:r w:rsidRPr="0005747D">
            <w:rPr>
              <w:b/>
              <w:sz w:val="18"/>
              <w:szCs w:val="18"/>
              <w:lang w:val="en-US"/>
            </w:rPr>
            <w:t>Q</w:t>
          </w:r>
          <w:r w:rsidR="005E3DA5">
            <w:rPr>
              <w:b/>
              <w:sz w:val="18"/>
              <w:szCs w:val="18"/>
              <w:lang w:val="en-US"/>
            </w:rPr>
            <w:t>ualitätssicherungsvereinbarung mit Aerospace-Lieferanten</w:t>
          </w:r>
        </w:p>
      </w:tc>
    </w:tr>
  </w:tbl>
  <w:p w:rsidR="004832DD" w:rsidRPr="0005747D" w:rsidRDefault="004832DD" w:rsidP="00AB0E8D">
    <w:pPr>
      <w:pStyle w:val="Kopfzeile"/>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Layout w:type="fixed"/>
      <w:tblCellMar>
        <w:left w:w="70" w:type="dxa"/>
        <w:right w:w="70" w:type="dxa"/>
      </w:tblCellMar>
      <w:tblLook w:val="0000" w:firstRow="0" w:lastRow="0" w:firstColumn="0" w:lastColumn="0" w:noHBand="0" w:noVBand="0"/>
    </w:tblPr>
    <w:tblGrid>
      <w:gridCol w:w="1690"/>
      <w:gridCol w:w="8100"/>
    </w:tblGrid>
    <w:tr w:rsidR="004832DD" w:rsidTr="00647ADE">
      <w:trPr>
        <w:trHeight w:val="495"/>
      </w:trPr>
      <w:tc>
        <w:tcPr>
          <w:tcW w:w="1690" w:type="dxa"/>
          <w:vMerge w:val="restart"/>
        </w:tcPr>
        <w:p w:rsidR="004832DD" w:rsidRDefault="004832DD" w:rsidP="00647ADE">
          <w:pPr>
            <w:pStyle w:val="Titel"/>
            <w:spacing w:before="120"/>
          </w:pPr>
        </w:p>
      </w:tc>
      <w:tc>
        <w:tcPr>
          <w:tcW w:w="8100" w:type="dxa"/>
        </w:tcPr>
        <w:p w:rsidR="004832DD" w:rsidRPr="00E16B30" w:rsidRDefault="00F95E3B" w:rsidP="00647ADE">
          <w:pPr>
            <w:pStyle w:val="Kopfzeil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132pt;height:28.5pt;visibility:visible;mso-wrap-style:square">
                <v:imagedata r:id="rId1" o:title=""/>
              </v:shape>
            </w:pict>
          </w:r>
        </w:p>
      </w:tc>
    </w:tr>
    <w:tr w:rsidR="004832DD" w:rsidTr="00647ADE">
      <w:trPr>
        <w:trHeight w:val="495"/>
      </w:trPr>
      <w:tc>
        <w:tcPr>
          <w:tcW w:w="1690" w:type="dxa"/>
          <w:vMerge/>
        </w:tcPr>
        <w:p w:rsidR="004832DD" w:rsidRDefault="004832DD" w:rsidP="00647ADE">
          <w:pPr>
            <w:pStyle w:val="Titel"/>
            <w:spacing w:before="120"/>
            <w:rPr>
              <w:noProof/>
            </w:rPr>
          </w:pPr>
        </w:p>
      </w:tc>
      <w:tc>
        <w:tcPr>
          <w:tcW w:w="8100" w:type="dxa"/>
          <w:vAlign w:val="center"/>
        </w:tcPr>
        <w:p w:rsidR="004832DD" w:rsidRDefault="004832DD" w:rsidP="00647ADE">
          <w:pPr>
            <w:pStyle w:val="Kopfzeile"/>
            <w:jc w:val="right"/>
          </w:pPr>
        </w:p>
      </w:tc>
    </w:tr>
  </w:tbl>
  <w:p w:rsidR="004832DD" w:rsidRPr="009A31AF" w:rsidRDefault="004832DD">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3CE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60F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5AE8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E67D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9EA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96E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065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2AC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307796"/>
    <w:lvl w:ilvl="0">
      <w:start w:val="1"/>
      <w:numFmt w:val="decimal"/>
      <w:lvlText w:val="%1."/>
      <w:lvlJc w:val="left"/>
      <w:pPr>
        <w:tabs>
          <w:tab w:val="num" w:pos="360"/>
        </w:tabs>
        <w:ind w:left="360" w:hanging="360"/>
      </w:pPr>
    </w:lvl>
  </w:abstractNum>
  <w:abstractNum w:abstractNumId="9" w15:restartNumberingAfterBreak="0">
    <w:nsid w:val="59886D51"/>
    <w:multiLevelType w:val="hybridMultilevel"/>
    <w:tmpl w:val="3BC0B93E"/>
    <w:lvl w:ilvl="0" w:tplc="EC66903A">
      <w:start w:val="1"/>
      <w:numFmt w:val="bullet"/>
      <w:pStyle w:val="AufzhlungmitPunkt"/>
      <w:lvlText w:val=""/>
      <w:lvlJc w:val="left"/>
      <w:pPr>
        <w:tabs>
          <w:tab w:val="num" w:pos="357"/>
        </w:tabs>
        <w:ind w:left="0" w:firstLine="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9B3000"/>
    <w:multiLevelType w:val="hybridMultilevel"/>
    <w:tmpl w:val="77ACA71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BD677E"/>
    <w:multiLevelType w:val="hybridMultilevel"/>
    <w:tmpl w:val="319EE0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C5D4110"/>
    <w:multiLevelType w:val="multilevel"/>
    <w:tmpl w:val="8F50889A"/>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360"/>
        </w:tabs>
        <w:ind w:left="0" w:firstLine="0"/>
      </w:pPr>
      <w:rPr>
        <w:rFonts w:hint="default"/>
      </w:rPr>
    </w:lvl>
    <w:lvl w:ilvl="2">
      <w:start w:val="1"/>
      <w:numFmt w:val="decimal"/>
      <w:pStyle w:val="berschrift3"/>
      <w:lvlText w:val="%1.%2.%3"/>
      <w:lvlJc w:val="left"/>
      <w:pPr>
        <w:tabs>
          <w:tab w:val="num" w:pos="2520"/>
        </w:tabs>
        <w:ind w:left="1800" w:firstLine="0"/>
      </w:pPr>
      <w:rPr>
        <w:rFonts w:hint="default"/>
      </w:rPr>
    </w:lvl>
    <w:lvl w:ilvl="3">
      <w:start w:val="1"/>
      <w:numFmt w:val="decimal"/>
      <w:pStyle w:val="berschrift4"/>
      <w:lvlText w:val="%1.%2.%3.%4"/>
      <w:lvlJc w:val="left"/>
      <w:pPr>
        <w:tabs>
          <w:tab w:val="num" w:pos="720"/>
        </w:tabs>
        <w:ind w:left="0" w:firstLine="0"/>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2"/>
  </w:num>
  <w:num w:numId="2">
    <w:abstractNumId w:val="9"/>
  </w:num>
  <w:num w:numId="3">
    <w:abstractNumId w:val="12"/>
    <w:lvlOverride w:ilvl="0">
      <w:startOverride w:val="8"/>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QTYpudoG1Yr6bxjeysI3525hoJGt4YjJSkF6uEDI0mp1bTf0fQEr0rw6ZcTyKzR0pdAnVQTE3wm8lHbWQnOU6Q==" w:salt="178gh/l7S2e2wAl7HDvDKg=="/>
  <w:defaultTabStop w:val="709"/>
  <w:hyphenationZone w:val="425"/>
  <w:characterSpacingControl w:val="doNotCompress"/>
  <w:hdrShapeDefaults>
    <o:shapedefaults v:ext="edit" spidmax="2054" style="mso-position-horizontal-relative:page;mso-position-vertical-relative:page" fill="f" fillcolor="white">
      <v:fill color="whit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BE5"/>
    <w:rsid w:val="000023D2"/>
    <w:rsid w:val="00002FA3"/>
    <w:rsid w:val="00003C12"/>
    <w:rsid w:val="000053A2"/>
    <w:rsid w:val="00010739"/>
    <w:rsid w:val="00010823"/>
    <w:rsid w:val="00012B4D"/>
    <w:rsid w:val="00012BBB"/>
    <w:rsid w:val="00014085"/>
    <w:rsid w:val="000213E2"/>
    <w:rsid w:val="00021BEF"/>
    <w:rsid w:val="00021D9A"/>
    <w:rsid w:val="00022FC7"/>
    <w:rsid w:val="00023263"/>
    <w:rsid w:val="000237C3"/>
    <w:rsid w:val="00024061"/>
    <w:rsid w:val="00026A77"/>
    <w:rsid w:val="00026F6A"/>
    <w:rsid w:val="0004155F"/>
    <w:rsid w:val="0004175B"/>
    <w:rsid w:val="000443F6"/>
    <w:rsid w:val="00044545"/>
    <w:rsid w:val="00045A35"/>
    <w:rsid w:val="00047571"/>
    <w:rsid w:val="00047DE3"/>
    <w:rsid w:val="000517F5"/>
    <w:rsid w:val="00051CD5"/>
    <w:rsid w:val="000527C8"/>
    <w:rsid w:val="00054E38"/>
    <w:rsid w:val="00054F88"/>
    <w:rsid w:val="00056D9A"/>
    <w:rsid w:val="0005747D"/>
    <w:rsid w:val="00057BA1"/>
    <w:rsid w:val="00060717"/>
    <w:rsid w:val="00062A4B"/>
    <w:rsid w:val="0006512F"/>
    <w:rsid w:val="00065EFC"/>
    <w:rsid w:val="00066CAB"/>
    <w:rsid w:val="00070007"/>
    <w:rsid w:val="0007353A"/>
    <w:rsid w:val="000758CE"/>
    <w:rsid w:val="00077B8C"/>
    <w:rsid w:val="00081F21"/>
    <w:rsid w:val="00082B00"/>
    <w:rsid w:val="00083029"/>
    <w:rsid w:val="00083350"/>
    <w:rsid w:val="00084683"/>
    <w:rsid w:val="000852E6"/>
    <w:rsid w:val="00086195"/>
    <w:rsid w:val="00087DB6"/>
    <w:rsid w:val="00092BBF"/>
    <w:rsid w:val="000962CF"/>
    <w:rsid w:val="0009785C"/>
    <w:rsid w:val="000A02CF"/>
    <w:rsid w:val="000A09F0"/>
    <w:rsid w:val="000A1CF1"/>
    <w:rsid w:val="000A2343"/>
    <w:rsid w:val="000A238E"/>
    <w:rsid w:val="000A2E27"/>
    <w:rsid w:val="000A5F25"/>
    <w:rsid w:val="000A6EBB"/>
    <w:rsid w:val="000B0B3C"/>
    <w:rsid w:val="000B134F"/>
    <w:rsid w:val="000B2C0A"/>
    <w:rsid w:val="000B2ED3"/>
    <w:rsid w:val="000B6B98"/>
    <w:rsid w:val="000C154C"/>
    <w:rsid w:val="000C1971"/>
    <w:rsid w:val="000C2A1D"/>
    <w:rsid w:val="000C2F44"/>
    <w:rsid w:val="000C7B49"/>
    <w:rsid w:val="000C7F52"/>
    <w:rsid w:val="000D03B9"/>
    <w:rsid w:val="000D0A8F"/>
    <w:rsid w:val="000D1AEC"/>
    <w:rsid w:val="000D4325"/>
    <w:rsid w:val="000D5BB6"/>
    <w:rsid w:val="000D65D5"/>
    <w:rsid w:val="000D78BE"/>
    <w:rsid w:val="000D7D70"/>
    <w:rsid w:val="000E053B"/>
    <w:rsid w:val="000E0BC1"/>
    <w:rsid w:val="000E0FA2"/>
    <w:rsid w:val="000E37C5"/>
    <w:rsid w:val="000E434C"/>
    <w:rsid w:val="000E460C"/>
    <w:rsid w:val="000E6AAB"/>
    <w:rsid w:val="000E7CC7"/>
    <w:rsid w:val="000F2DC8"/>
    <w:rsid w:val="000F74CB"/>
    <w:rsid w:val="000F756F"/>
    <w:rsid w:val="0010138B"/>
    <w:rsid w:val="001036F7"/>
    <w:rsid w:val="0010477E"/>
    <w:rsid w:val="001071D6"/>
    <w:rsid w:val="001078E0"/>
    <w:rsid w:val="00107A2C"/>
    <w:rsid w:val="00116ADB"/>
    <w:rsid w:val="00117B2A"/>
    <w:rsid w:val="00121FA4"/>
    <w:rsid w:val="00124F37"/>
    <w:rsid w:val="00125B1D"/>
    <w:rsid w:val="001307AB"/>
    <w:rsid w:val="00130E2C"/>
    <w:rsid w:val="00131441"/>
    <w:rsid w:val="0013282D"/>
    <w:rsid w:val="00133C40"/>
    <w:rsid w:val="0013466A"/>
    <w:rsid w:val="00135454"/>
    <w:rsid w:val="001376CD"/>
    <w:rsid w:val="00141ACC"/>
    <w:rsid w:val="00143891"/>
    <w:rsid w:val="00143E17"/>
    <w:rsid w:val="00144F3A"/>
    <w:rsid w:val="00145552"/>
    <w:rsid w:val="00145946"/>
    <w:rsid w:val="00146670"/>
    <w:rsid w:val="0015228E"/>
    <w:rsid w:val="001528AE"/>
    <w:rsid w:val="001543BF"/>
    <w:rsid w:val="001555A1"/>
    <w:rsid w:val="00155C80"/>
    <w:rsid w:val="00155CA6"/>
    <w:rsid w:val="001579B7"/>
    <w:rsid w:val="00157AB3"/>
    <w:rsid w:val="001603F8"/>
    <w:rsid w:val="00162AA2"/>
    <w:rsid w:val="00163299"/>
    <w:rsid w:val="001661FE"/>
    <w:rsid w:val="001667C4"/>
    <w:rsid w:val="00167305"/>
    <w:rsid w:val="001700F5"/>
    <w:rsid w:val="0017393B"/>
    <w:rsid w:val="0017749D"/>
    <w:rsid w:val="001775BC"/>
    <w:rsid w:val="001822B9"/>
    <w:rsid w:val="00185C06"/>
    <w:rsid w:val="001861D4"/>
    <w:rsid w:val="00192680"/>
    <w:rsid w:val="00194B53"/>
    <w:rsid w:val="001A0FCB"/>
    <w:rsid w:val="001A18BB"/>
    <w:rsid w:val="001A2134"/>
    <w:rsid w:val="001A2FD8"/>
    <w:rsid w:val="001A562C"/>
    <w:rsid w:val="001A7453"/>
    <w:rsid w:val="001B0B98"/>
    <w:rsid w:val="001C3F84"/>
    <w:rsid w:val="001C3F95"/>
    <w:rsid w:val="001C540C"/>
    <w:rsid w:val="001C5DC7"/>
    <w:rsid w:val="001C6037"/>
    <w:rsid w:val="001D078C"/>
    <w:rsid w:val="001D0D12"/>
    <w:rsid w:val="001D27D7"/>
    <w:rsid w:val="001D3F94"/>
    <w:rsid w:val="001D463D"/>
    <w:rsid w:val="001D6298"/>
    <w:rsid w:val="001D7457"/>
    <w:rsid w:val="001E2EE0"/>
    <w:rsid w:val="001E6195"/>
    <w:rsid w:val="001F002D"/>
    <w:rsid w:val="001F0C25"/>
    <w:rsid w:val="001F2626"/>
    <w:rsid w:val="001F2A38"/>
    <w:rsid w:val="001F37E9"/>
    <w:rsid w:val="001F7BD0"/>
    <w:rsid w:val="00200297"/>
    <w:rsid w:val="00200A02"/>
    <w:rsid w:val="00204537"/>
    <w:rsid w:val="00204A0A"/>
    <w:rsid w:val="00205213"/>
    <w:rsid w:val="00207A8E"/>
    <w:rsid w:val="00212DE5"/>
    <w:rsid w:val="00213930"/>
    <w:rsid w:val="0021573A"/>
    <w:rsid w:val="00217BF5"/>
    <w:rsid w:val="0022219B"/>
    <w:rsid w:val="0022472E"/>
    <w:rsid w:val="00224FB3"/>
    <w:rsid w:val="002278A9"/>
    <w:rsid w:val="00231548"/>
    <w:rsid w:val="00231E75"/>
    <w:rsid w:val="00232374"/>
    <w:rsid w:val="002330E1"/>
    <w:rsid w:val="00234441"/>
    <w:rsid w:val="00234ADC"/>
    <w:rsid w:val="002357F2"/>
    <w:rsid w:val="0023745F"/>
    <w:rsid w:val="002376F5"/>
    <w:rsid w:val="00240279"/>
    <w:rsid w:val="00240FCB"/>
    <w:rsid w:val="002442D0"/>
    <w:rsid w:val="00244ADB"/>
    <w:rsid w:val="00244B91"/>
    <w:rsid w:val="00246204"/>
    <w:rsid w:val="00250F9C"/>
    <w:rsid w:val="00252BA8"/>
    <w:rsid w:val="00253DD2"/>
    <w:rsid w:val="002560CB"/>
    <w:rsid w:val="00257AF3"/>
    <w:rsid w:val="00263452"/>
    <w:rsid w:val="00270102"/>
    <w:rsid w:val="00272B71"/>
    <w:rsid w:val="00277943"/>
    <w:rsid w:val="00282777"/>
    <w:rsid w:val="00282DC6"/>
    <w:rsid w:val="002836A1"/>
    <w:rsid w:val="002864DB"/>
    <w:rsid w:val="002920CF"/>
    <w:rsid w:val="00295C62"/>
    <w:rsid w:val="00296369"/>
    <w:rsid w:val="002A0F4B"/>
    <w:rsid w:val="002A0F62"/>
    <w:rsid w:val="002A26F7"/>
    <w:rsid w:val="002A274D"/>
    <w:rsid w:val="002A4605"/>
    <w:rsid w:val="002A6AC2"/>
    <w:rsid w:val="002A7F76"/>
    <w:rsid w:val="002B2C95"/>
    <w:rsid w:val="002B35FF"/>
    <w:rsid w:val="002B52C6"/>
    <w:rsid w:val="002B59C0"/>
    <w:rsid w:val="002C3085"/>
    <w:rsid w:val="002C3CAA"/>
    <w:rsid w:val="002C59B3"/>
    <w:rsid w:val="002C64AF"/>
    <w:rsid w:val="002C7881"/>
    <w:rsid w:val="002D04D4"/>
    <w:rsid w:val="002D151C"/>
    <w:rsid w:val="002D234D"/>
    <w:rsid w:val="002D2906"/>
    <w:rsid w:val="002D3A2F"/>
    <w:rsid w:val="002D57F7"/>
    <w:rsid w:val="002D592F"/>
    <w:rsid w:val="002D617E"/>
    <w:rsid w:val="002E0634"/>
    <w:rsid w:val="002E3C3F"/>
    <w:rsid w:val="002E41ED"/>
    <w:rsid w:val="002F048D"/>
    <w:rsid w:val="002F0514"/>
    <w:rsid w:val="002F3D4E"/>
    <w:rsid w:val="002F61DB"/>
    <w:rsid w:val="003010E2"/>
    <w:rsid w:val="003022E5"/>
    <w:rsid w:val="00304E2D"/>
    <w:rsid w:val="00306111"/>
    <w:rsid w:val="003069A0"/>
    <w:rsid w:val="00311510"/>
    <w:rsid w:val="00313523"/>
    <w:rsid w:val="003156E9"/>
    <w:rsid w:val="00316651"/>
    <w:rsid w:val="00316B4A"/>
    <w:rsid w:val="003201CA"/>
    <w:rsid w:val="00320BF6"/>
    <w:rsid w:val="00320D48"/>
    <w:rsid w:val="0032252B"/>
    <w:rsid w:val="00323800"/>
    <w:rsid w:val="00325740"/>
    <w:rsid w:val="00326972"/>
    <w:rsid w:val="00327407"/>
    <w:rsid w:val="00334516"/>
    <w:rsid w:val="00334C90"/>
    <w:rsid w:val="003379CB"/>
    <w:rsid w:val="003401D4"/>
    <w:rsid w:val="0034144D"/>
    <w:rsid w:val="00341D8F"/>
    <w:rsid w:val="00341EAC"/>
    <w:rsid w:val="0034267F"/>
    <w:rsid w:val="00343245"/>
    <w:rsid w:val="00345B91"/>
    <w:rsid w:val="0035293A"/>
    <w:rsid w:val="003549D7"/>
    <w:rsid w:val="00355120"/>
    <w:rsid w:val="003564B5"/>
    <w:rsid w:val="00356613"/>
    <w:rsid w:val="00356F8E"/>
    <w:rsid w:val="003570AC"/>
    <w:rsid w:val="00364982"/>
    <w:rsid w:val="00371356"/>
    <w:rsid w:val="0037298B"/>
    <w:rsid w:val="003737EA"/>
    <w:rsid w:val="003738BA"/>
    <w:rsid w:val="00377156"/>
    <w:rsid w:val="00381D51"/>
    <w:rsid w:val="00383756"/>
    <w:rsid w:val="003856EE"/>
    <w:rsid w:val="00386527"/>
    <w:rsid w:val="00386C30"/>
    <w:rsid w:val="00386DE0"/>
    <w:rsid w:val="00390198"/>
    <w:rsid w:val="00390A02"/>
    <w:rsid w:val="00390C55"/>
    <w:rsid w:val="003955EE"/>
    <w:rsid w:val="003960EC"/>
    <w:rsid w:val="00397A95"/>
    <w:rsid w:val="00397B86"/>
    <w:rsid w:val="00397D08"/>
    <w:rsid w:val="003A017E"/>
    <w:rsid w:val="003B08AC"/>
    <w:rsid w:val="003B2B9E"/>
    <w:rsid w:val="003B3E3A"/>
    <w:rsid w:val="003B7116"/>
    <w:rsid w:val="003B718E"/>
    <w:rsid w:val="003C04D5"/>
    <w:rsid w:val="003C12EC"/>
    <w:rsid w:val="003C26B9"/>
    <w:rsid w:val="003C3CD7"/>
    <w:rsid w:val="003C646B"/>
    <w:rsid w:val="003D0474"/>
    <w:rsid w:val="003D0C8A"/>
    <w:rsid w:val="003D2E72"/>
    <w:rsid w:val="003D4058"/>
    <w:rsid w:val="003D469B"/>
    <w:rsid w:val="003D5B4E"/>
    <w:rsid w:val="003D6862"/>
    <w:rsid w:val="003E2A62"/>
    <w:rsid w:val="003E3151"/>
    <w:rsid w:val="003E4333"/>
    <w:rsid w:val="003E7855"/>
    <w:rsid w:val="003F0AB9"/>
    <w:rsid w:val="003F6C93"/>
    <w:rsid w:val="00400C1F"/>
    <w:rsid w:val="00401E1D"/>
    <w:rsid w:val="004076AB"/>
    <w:rsid w:val="004112B0"/>
    <w:rsid w:val="00413CB4"/>
    <w:rsid w:val="00415851"/>
    <w:rsid w:val="00422400"/>
    <w:rsid w:val="00424FAD"/>
    <w:rsid w:val="00425AB9"/>
    <w:rsid w:val="004261C2"/>
    <w:rsid w:val="004301EE"/>
    <w:rsid w:val="004304D9"/>
    <w:rsid w:val="00430A35"/>
    <w:rsid w:val="004316D4"/>
    <w:rsid w:val="004411D3"/>
    <w:rsid w:val="004418E9"/>
    <w:rsid w:val="004543DA"/>
    <w:rsid w:val="004559C2"/>
    <w:rsid w:val="00456D6A"/>
    <w:rsid w:val="00460C5D"/>
    <w:rsid w:val="00461670"/>
    <w:rsid w:val="004626F8"/>
    <w:rsid w:val="0046486F"/>
    <w:rsid w:val="0046497F"/>
    <w:rsid w:val="00466F84"/>
    <w:rsid w:val="004708DC"/>
    <w:rsid w:val="00470AC4"/>
    <w:rsid w:val="00471842"/>
    <w:rsid w:val="00474382"/>
    <w:rsid w:val="00477062"/>
    <w:rsid w:val="00477A1D"/>
    <w:rsid w:val="004804E6"/>
    <w:rsid w:val="00481998"/>
    <w:rsid w:val="004832DD"/>
    <w:rsid w:val="00484728"/>
    <w:rsid w:val="00485732"/>
    <w:rsid w:val="00485AF3"/>
    <w:rsid w:val="00485B36"/>
    <w:rsid w:val="00486A98"/>
    <w:rsid w:val="0049232E"/>
    <w:rsid w:val="00495F1B"/>
    <w:rsid w:val="00497E7A"/>
    <w:rsid w:val="004A30BF"/>
    <w:rsid w:val="004A60DE"/>
    <w:rsid w:val="004B0585"/>
    <w:rsid w:val="004B1FD2"/>
    <w:rsid w:val="004B222C"/>
    <w:rsid w:val="004B39FF"/>
    <w:rsid w:val="004B42FE"/>
    <w:rsid w:val="004B5060"/>
    <w:rsid w:val="004C3372"/>
    <w:rsid w:val="004C36CA"/>
    <w:rsid w:val="004C4A68"/>
    <w:rsid w:val="004C4E28"/>
    <w:rsid w:val="004C6312"/>
    <w:rsid w:val="004C7C7A"/>
    <w:rsid w:val="004D047F"/>
    <w:rsid w:val="004D2561"/>
    <w:rsid w:val="004D4461"/>
    <w:rsid w:val="004D5887"/>
    <w:rsid w:val="004D74C6"/>
    <w:rsid w:val="004D7F04"/>
    <w:rsid w:val="004E35C5"/>
    <w:rsid w:val="004E4574"/>
    <w:rsid w:val="004E52EB"/>
    <w:rsid w:val="004E5C8E"/>
    <w:rsid w:val="004E759B"/>
    <w:rsid w:val="004F0B42"/>
    <w:rsid w:val="004F12AA"/>
    <w:rsid w:val="004F1865"/>
    <w:rsid w:val="004F5E07"/>
    <w:rsid w:val="005051F7"/>
    <w:rsid w:val="00506211"/>
    <w:rsid w:val="00510F9F"/>
    <w:rsid w:val="00515292"/>
    <w:rsid w:val="00516AED"/>
    <w:rsid w:val="005206C2"/>
    <w:rsid w:val="005231F1"/>
    <w:rsid w:val="00523F6B"/>
    <w:rsid w:val="00524058"/>
    <w:rsid w:val="00525AB0"/>
    <w:rsid w:val="00527D26"/>
    <w:rsid w:val="005308A2"/>
    <w:rsid w:val="00531E1D"/>
    <w:rsid w:val="005335C2"/>
    <w:rsid w:val="0053787F"/>
    <w:rsid w:val="00542F7B"/>
    <w:rsid w:val="0054335C"/>
    <w:rsid w:val="00543AA7"/>
    <w:rsid w:val="00544A52"/>
    <w:rsid w:val="00546566"/>
    <w:rsid w:val="00547DC2"/>
    <w:rsid w:val="005506FE"/>
    <w:rsid w:val="00551636"/>
    <w:rsid w:val="00552354"/>
    <w:rsid w:val="00555766"/>
    <w:rsid w:val="005573F2"/>
    <w:rsid w:val="005610F0"/>
    <w:rsid w:val="00570DE1"/>
    <w:rsid w:val="0057175B"/>
    <w:rsid w:val="0057715A"/>
    <w:rsid w:val="00580FCB"/>
    <w:rsid w:val="0058602A"/>
    <w:rsid w:val="00593B11"/>
    <w:rsid w:val="0059508E"/>
    <w:rsid w:val="005952DA"/>
    <w:rsid w:val="005976DD"/>
    <w:rsid w:val="005A1623"/>
    <w:rsid w:val="005B09BC"/>
    <w:rsid w:val="005B6B57"/>
    <w:rsid w:val="005C5DF4"/>
    <w:rsid w:val="005C7A50"/>
    <w:rsid w:val="005C7DCA"/>
    <w:rsid w:val="005D04ED"/>
    <w:rsid w:val="005D0E36"/>
    <w:rsid w:val="005D2A3B"/>
    <w:rsid w:val="005E1E86"/>
    <w:rsid w:val="005E3285"/>
    <w:rsid w:val="005E3DA5"/>
    <w:rsid w:val="005E63D7"/>
    <w:rsid w:val="005F0E2C"/>
    <w:rsid w:val="005F24FE"/>
    <w:rsid w:val="005F2825"/>
    <w:rsid w:val="005F3DE0"/>
    <w:rsid w:val="005F4ECE"/>
    <w:rsid w:val="005F4F79"/>
    <w:rsid w:val="005F7D54"/>
    <w:rsid w:val="0060340B"/>
    <w:rsid w:val="00603BB0"/>
    <w:rsid w:val="00604613"/>
    <w:rsid w:val="00604993"/>
    <w:rsid w:val="0060531E"/>
    <w:rsid w:val="00606190"/>
    <w:rsid w:val="006062D9"/>
    <w:rsid w:val="00611CAA"/>
    <w:rsid w:val="00613314"/>
    <w:rsid w:val="00613ABA"/>
    <w:rsid w:val="00615379"/>
    <w:rsid w:val="006174D6"/>
    <w:rsid w:val="00620970"/>
    <w:rsid w:val="0062330A"/>
    <w:rsid w:val="00626FE2"/>
    <w:rsid w:val="00631274"/>
    <w:rsid w:val="00631A9B"/>
    <w:rsid w:val="00632C8D"/>
    <w:rsid w:val="00632E15"/>
    <w:rsid w:val="006337E3"/>
    <w:rsid w:val="00636C40"/>
    <w:rsid w:val="00642319"/>
    <w:rsid w:val="00643408"/>
    <w:rsid w:val="006454B3"/>
    <w:rsid w:val="0064669D"/>
    <w:rsid w:val="00646A1F"/>
    <w:rsid w:val="00647ADE"/>
    <w:rsid w:val="00651840"/>
    <w:rsid w:val="0065463D"/>
    <w:rsid w:val="00662A1F"/>
    <w:rsid w:val="00663C8F"/>
    <w:rsid w:val="00663CA8"/>
    <w:rsid w:val="00665C1E"/>
    <w:rsid w:val="00670BCD"/>
    <w:rsid w:val="0067149A"/>
    <w:rsid w:val="00673EDE"/>
    <w:rsid w:val="00675AD9"/>
    <w:rsid w:val="00676EF5"/>
    <w:rsid w:val="00676FBD"/>
    <w:rsid w:val="00682D12"/>
    <w:rsid w:val="0068316F"/>
    <w:rsid w:val="00683AB8"/>
    <w:rsid w:val="006840D2"/>
    <w:rsid w:val="0068514C"/>
    <w:rsid w:val="006872F0"/>
    <w:rsid w:val="00691391"/>
    <w:rsid w:val="0069329C"/>
    <w:rsid w:val="00695BE5"/>
    <w:rsid w:val="006A1659"/>
    <w:rsid w:val="006A4472"/>
    <w:rsid w:val="006A6839"/>
    <w:rsid w:val="006A720B"/>
    <w:rsid w:val="006B1098"/>
    <w:rsid w:val="006B346A"/>
    <w:rsid w:val="006B3542"/>
    <w:rsid w:val="006B49DE"/>
    <w:rsid w:val="006B5407"/>
    <w:rsid w:val="006B5C56"/>
    <w:rsid w:val="006B613F"/>
    <w:rsid w:val="006C3D75"/>
    <w:rsid w:val="006C3E92"/>
    <w:rsid w:val="006C49CA"/>
    <w:rsid w:val="006C5B6B"/>
    <w:rsid w:val="006C5E09"/>
    <w:rsid w:val="006C6F62"/>
    <w:rsid w:val="006C71E4"/>
    <w:rsid w:val="006D14EA"/>
    <w:rsid w:val="006D1B38"/>
    <w:rsid w:val="006D21F4"/>
    <w:rsid w:val="006D34A1"/>
    <w:rsid w:val="006D3DB1"/>
    <w:rsid w:val="006D403B"/>
    <w:rsid w:val="006D61D8"/>
    <w:rsid w:val="006E0A3D"/>
    <w:rsid w:val="006E1D19"/>
    <w:rsid w:val="006E25D6"/>
    <w:rsid w:val="006E3111"/>
    <w:rsid w:val="006E3447"/>
    <w:rsid w:val="006E39E4"/>
    <w:rsid w:val="006E4B60"/>
    <w:rsid w:val="006E5A9F"/>
    <w:rsid w:val="006F0067"/>
    <w:rsid w:val="006F09E3"/>
    <w:rsid w:val="006F1373"/>
    <w:rsid w:val="006F2B77"/>
    <w:rsid w:val="006F2FD2"/>
    <w:rsid w:val="006F397E"/>
    <w:rsid w:val="006F4480"/>
    <w:rsid w:val="006F6E46"/>
    <w:rsid w:val="007018B7"/>
    <w:rsid w:val="007026BE"/>
    <w:rsid w:val="00702EB1"/>
    <w:rsid w:val="00704626"/>
    <w:rsid w:val="00705E18"/>
    <w:rsid w:val="00705E1B"/>
    <w:rsid w:val="00706252"/>
    <w:rsid w:val="00706ABC"/>
    <w:rsid w:val="00712BCC"/>
    <w:rsid w:val="007135A3"/>
    <w:rsid w:val="00714E40"/>
    <w:rsid w:val="0071624A"/>
    <w:rsid w:val="00722825"/>
    <w:rsid w:val="00723F7F"/>
    <w:rsid w:val="00731E25"/>
    <w:rsid w:val="0073232F"/>
    <w:rsid w:val="00732AD9"/>
    <w:rsid w:val="00732D15"/>
    <w:rsid w:val="0073421F"/>
    <w:rsid w:val="0073557F"/>
    <w:rsid w:val="0073596F"/>
    <w:rsid w:val="007419B9"/>
    <w:rsid w:val="00741DD3"/>
    <w:rsid w:val="00742C0A"/>
    <w:rsid w:val="00743C88"/>
    <w:rsid w:val="007440CB"/>
    <w:rsid w:val="00744927"/>
    <w:rsid w:val="00750420"/>
    <w:rsid w:val="0075123D"/>
    <w:rsid w:val="00751BB6"/>
    <w:rsid w:val="0075285E"/>
    <w:rsid w:val="00752A4F"/>
    <w:rsid w:val="00754CB1"/>
    <w:rsid w:val="00755ECA"/>
    <w:rsid w:val="00755FF3"/>
    <w:rsid w:val="00761356"/>
    <w:rsid w:val="0076156B"/>
    <w:rsid w:val="00762C1A"/>
    <w:rsid w:val="007635A2"/>
    <w:rsid w:val="00764142"/>
    <w:rsid w:val="0076619C"/>
    <w:rsid w:val="007671C3"/>
    <w:rsid w:val="0076775F"/>
    <w:rsid w:val="00770005"/>
    <w:rsid w:val="00770EA3"/>
    <w:rsid w:val="007770D7"/>
    <w:rsid w:val="00777642"/>
    <w:rsid w:val="00777F4F"/>
    <w:rsid w:val="00781824"/>
    <w:rsid w:val="007822FD"/>
    <w:rsid w:val="00783872"/>
    <w:rsid w:val="00792FFB"/>
    <w:rsid w:val="007A0EE1"/>
    <w:rsid w:val="007A4FB4"/>
    <w:rsid w:val="007A5F73"/>
    <w:rsid w:val="007A753B"/>
    <w:rsid w:val="007B56AD"/>
    <w:rsid w:val="007B79B1"/>
    <w:rsid w:val="007C5A0B"/>
    <w:rsid w:val="007C7574"/>
    <w:rsid w:val="007C7CFC"/>
    <w:rsid w:val="007D2260"/>
    <w:rsid w:val="007D36E5"/>
    <w:rsid w:val="007D51D3"/>
    <w:rsid w:val="007D542A"/>
    <w:rsid w:val="007D641A"/>
    <w:rsid w:val="007D68CE"/>
    <w:rsid w:val="007E2A08"/>
    <w:rsid w:val="007E4883"/>
    <w:rsid w:val="007E64D4"/>
    <w:rsid w:val="007F155E"/>
    <w:rsid w:val="007F2612"/>
    <w:rsid w:val="007F4178"/>
    <w:rsid w:val="007F4C58"/>
    <w:rsid w:val="007F5AF9"/>
    <w:rsid w:val="008005B6"/>
    <w:rsid w:val="008021C5"/>
    <w:rsid w:val="00803F95"/>
    <w:rsid w:val="00805CD2"/>
    <w:rsid w:val="00806EFF"/>
    <w:rsid w:val="0081162C"/>
    <w:rsid w:val="00812076"/>
    <w:rsid w:val="0081216F"/>
    <w:rsid w:val="00812693"/>
    <w:rsid w:val="008143B1"/>
    <w:rsid w:val="0081484E"/>
    <w:rsid w:val="00815475"/>
    <w:rsid w:val="00815B6E"/>
    <w:rsid w:val="00816840"/>
    <w:rsid w:val="00817172"/>
    <w:rsid w:val="00817859"/>
    <w:rsid w:val="00817CCE"/>
    <w:rsid w:val="00820B69"/>
    <w:rsid w:val="00825A53"/>
    <w:rsid w:val="00826505"/>
    <w:rsid w:val="0082702E"/>
    <w:rsid w:val="0083271E"/>
    <w:rsid w:val="008328BA"/>
    <w:rsid w:val="00832B2A"/>
    <w:rsid w:val="00832E6E"/>
    <w:rsid w:val="008351D3"/>
    <w:rsid w:val="00836CA7"/>
    <w:rsid w:val="008376C9"/>
    <w:rsid w:val="0084227D"/>
    <w:rsid w:val="00843037"/>
    <w:rsid w:val="0084538F"/>
    <w:rsid w:val="00850332"/>
    <w:rsid w:val="00851941"/>
    <w:rsid w:val="0085495A"/>
    <w:rsid w:val="0085686D"/>
    <w:rsid w:val="008572E4"/>
    <w:rsid w:val="008574D5"/>
    <w:rsid w:val="008600F3"/>
    <w:rsid w:val="00860701"/>
    <w:rsid w:val="0086097F"/>
    <w:rsid w:val="00862614"/>
    <w:rsid w:val="00862B2E"/>
    <w:rsid w:val="0086423F"/>
    <w:rsid w:val="00864C18"/>
    <w:rsid w:val="00864D84"/>
    <w:rsid w:val="00864E1C"/>
    <w:rsid w:val="00865200"/>
    <w:rsid w:val="00866180"/>
    <w:rsid w:val="00872692"/>
    <w:rsid w:val="00880582"/>
    <w:rsid w:val="00880BAA"/>
    <w:rsid w:val="008825F7"/>
    <w:rsid w:val="00884113"/>
    <w:rsid w:val="00885E91"/>
    <w:rsid w:val="0088626C"/>
    <w:rsid w:val="008876A6"/>
    <w:rsid w:val="00887992"/>
    <w:rsid w:val="0089491B"/>
    <w:rsid w:val="00894B2B"/>
    <w:rsid w:val="008A34B9"/>
    <w:rsid w:val="008A36F9"/>
    <w:rsid w:val="008A5140"/>
    <w:rsid w:val="008B2CFE"/>
    <w:rsid w:val="008B694C"/>
    <w:rsid w:val="008C0B8D"/>
    <w:rsid w:val="008C1548"/>
    <w:rsid w:val="008C230E"/>
    <w:rsid w:val="008C55FA"/>
    <w:rsid w:val="008C5E28"/>
    <w:rsid w:val="008D2149"/>
    <w:rsid w:val="008D3844"/>
    <w:rsid w:val="008D4F65"/>
    <w:rsid w:val="008D6574"/>
    <w:rsid w:val="008E61B5"/>
    <w:rsid w:val="008E7D2E"/>
    <w:rsid w:val="008F106D"/>
    <w:rsid w:val="008F3B94"/>
    <w:rsid w:val="008F5839"/>
    <w:rsid w:val="009000D7"/>
    <w:rsid w:val="0090278B"/>
    <w:rsid w:val="00902B42"/>
    <w:rsid w:val="009056C7"/>
    <w:rsid w:val="0090609F"/>
    <w:rsid w:val="009068A1"/>
    <w:rsid w:val="009108F1"/>
    <w:rsid w:val="009117CE"/>
    <w:rsid w:val="00911B7B"/>
    <w:rsid w:val="009140C2"/>
    <w:rsid w:val="00917242"/>
    <w:rsid w:val="009175FA"/>
    <w:rsid w:val="009201F2"/>
    <w:rsid w:val="0092428E"/>
    <w:rsid w:val="00925255"/>
    <w:rsid w:val="009255B2"/>
    <w:rsid w:val="009257B6"/>
    <w:rsid w:val="00925EF9"/>
    <w:rsid w:val="00931A56"/>
    <w:rsid w:val="00933CB8"/>
    <w:rsid w:val="00934219"/>
    <w:rsid w:val="0094224B"/>
    <w:rsid w:val="00943093"/>
    <w:rsid w:val="00943A03"/>
    <w:rsid w:val="00944287"/>
    <w:rsid w:val="00944DBC"/>
    <w:rsid w:val="00947A81"/>
    <w:rsid w:val="00953917"/>
    <w:rsid w:val="00953D16"/>
    <w:rsid w:val="0096152F"/>
    <w:rsid w:val="00961779"/>
    <w:rsid w:val="009619CE"/>
    <w:rsid w:val="00965063"/>
    <w:rsid w:val="00966FFD"/>
    <w:rsid w:val="00970D9C"/>
    <w:rsid w:val="009717C4"/>
    <w:rsid w:val="00975161"/>
    <w:rsid w:val="009751AB"/>
    <w:rsid w:val="00981E63"/>
    <w:rsid w:val="00982358"/>
    <w:rsid w:val="00984637"/>
    <w:rsid w:val="00984BE1"/>
    <w:rsid w:val="0098522C"/>
    <w:rsid w:val="0098549F"/>
    <w:rsid w:val="00985B43"/>
    <w:rsid w:val="00990C14"/>
    <w:rsid w:val="0099203C"/>
    <w:rsid w:val="00993027"/>
    <w:rsid w:val="009A03FF"/>
    <w:rsid w:val="009A0DB5"/>
    <w:rsid w:val="009A15CB"/>
    <w:rsid w:val="009A2F00"/>
    <w:rsid w:val="009A31AF"/>
    <w:rsid w:val="009A46C5"/>
    <w:rsid w:val="009A741C"/>
    <w:rsid w:val="009A771F"/>
    <w:rsid w:val="009B242E"/>
    <w:rsid w:val="009B3FF6"/>
    <w:rsid w:val="009B4C50"/>
    <w:rsid w:val="009C084A"/>
    <w:rsid w:val="009C38D0"/>
    <w:rsid w:val="009C5F76"/>
    <w:rsid w:val="009D012D"/>
    <w:rsid w:val="009D250F"/>
    <w:rsid w:val="009D4795"/>
    <w:rsid w:val="009D7FAF"/>
    <w:rsid w:val="009E33F7"/>
    <w:rsid w:val="009E71BB"/>
    <w:rsid w:val="009F0C25"/>
    <w:rsid w:val="009F227E"/>
    <w:rsid w:val="009F37B7"/>
    <w:rsid w:val="009F7173"/>
    <w:rsid w:val="009F7380"/>
    <w:rsid w:val="00A02E1F"/>
    <w:rsid w:val="00A03CC7"/>
    <w:rsid w:val="00A10C9B"/>
    <w:rsid w:val="00A135D9"/>
    <w:rsid w:val="00A142F5"/>
    <w:rsid w:val="00A16257"/>
    <w:rsid w:val="00A17AEA"/>
    <w:rsid w:val="00A17F23"/>
    <w:rsid w:val="00A205AC"/>
    <w:rsid w:val="00A20698"/>
    <w:rsid w:val="00A20DA7"/>
    <w:rsid w:val="00A219F8"/>
    <w:rsid w:val="00A242EC"/>
    <w:rsid w:val="00A24A6F"/>
    <w:rsid w:val="00A266C1"/>
    <w:rsid w:val="00A277E7"/>
    <w:rsid w:val="00A27D38"/>
    <w:rsid w:val="00A305C4"/>
    <w:rsid w:val="00A318C0"/>
    <w:rsid w:val="00A318F1"/>
    <w:rsid w:val="00A32E3F"/>
    <w:rsid w:val="00A3307E"/>
    <w:rsid w:val="00A330F0"/>
    <w:rsid w:val="00A33FFB"/>
    <w:rsid w:val="00A36B67"/>
    <w:rsid w:val="00A401A2"/>
    <w:rsid w:val="00A43506"/>
    <w:rsid w:val="00A442F9"/>
    <w:rsid w:val="00A44500"/>
    <w:rsid w:val="00A447DE"/>
    <w:rsid w:val="00A45D92"/>
    <w:rsid w:val="00A46081"/>
    <w:rsid w:val="00A52134"/>
    <w:rsid w:val="00A55C83"/>
    <w:rsid w:val="00A6398F"/>
    <w:rsid w:val="00A6520D"/>
    <w:rsid w:val="00A6599E"/>
    <w:rsid w:val="00A66CF8"/>
    <w:rsid w:val="00A72237"/>
    <w:rsid w:val="00A7242B"/>
    <w:rsid w:val="00A72AD5"/>
    <w:rsid w:val="00A73EC6"/>
    <w:rsid w:val="00A748E8"/>
    <w:rsid w:val="00A74B6B"/>
    <w:rsid w:val="00A75A42"/>
    <w:rsid w:val="00A75E6F"/>
    <w:rsid w:val="00A763FD"/>
    <w:rsid w:val="00A76443"/>
    <w:rsid w:val="00A823FE"/>
    <w:rsid w:val="00A8273E"/>
    <w:rsid w:val="00A84D1D"/>
    <w:rsid w:val="00A8548C"/>
    <w:rsid w:val="00A85D34"/>
    <w:rsid w:val="00A85D4B"/>
    <w:rsid w:val="00A86A89"/>
    <w:rsid w:val="00A86E5F"/>
    <w:rsid w:val="00A930AF"/>
    <w:rsid w:val="00A94276"/>
    <w:rsid w:val="00A95D2F"/>
    <w:rsid w:val="00A97D9E"/>
    <w:rsid w:val="00AA33B3"/>
    <w:rsid w:val="00AA34E6"/>
    <w:rsid w:val="00AB0E8D"/>
    <w:rsid w:val="00AB1E66"/>
    <w:rsid w:val="00AB3CFA"/>
    <w:rsid w:val="00AB48CB"/>
    <w:rsid w:val="00AB5394"/>
    <w:rsid w:val="00AB5CDF"/>
    <w:rsid w:val="00AC0117"/>
    <w:rsid w:val="00AC0180"/>
    <w:rsid w:val="00AC2037"/>
    <w:rsid w:val="00AC3F66"/>
    <w:rsid w:val="00AC5CD0"/>
    <w:rsid w:val="00AC6526"/>
    <w:rsid w:val="00AC6798"/>
    <w:rsid w:val="00AD3327"/>
    <w:rsid w:val="00AD39F7"/>
    <w:rsid w:val="00AD52E5"/>
    <w:rsid w:val="00AD55E7"/>
    <w:rsid w:val="00AD640F"/>
    <w:rsid w:val="00AD7163"/>
    <w:rsid w:val="00AD78CA"/>
    <w:rsid w:val="00AD798B"/>
    <w:rsid w:val="00AE0506"/>
    <w:rsid w:val="00AE0DFF"/>
    <w:rsid w:val="00AE0E48"/>
    <w:rsid w:val="00AE2765"/>
    <w:rsid w:val="00AE3B18"/>
    <w:rsid w:val="00AE45FE"/>
    <w:rsid w:val="00AE5681"/>
    <w:rsid w:val="00AE7123"/>
    <w:rsid w:val="00AE765E"/>
    <w:rsid w:val="00AF23D3"/>
    <w:rsid w:val="00AF2A08"/>
    <w:rsid w:val="00AF606A"/>
    <w:rsid w:val="00B013E3"/>
    <w:rsid w:val="00B02415"/>
    <w:rsid w:val="00B02792"/>
    <w:rsid w:val="00B02828"/>
    <w:rsid w:val="00B04F1F"/>
    <w:rsid w:val="00B10965"/>
    <w:rsid w:val="00B109F0"/>
    <w:rsid w:val="00B12AD7"/>
    <w:rsid w:val="00B14DA5"/>
    <w:rsid w:val="00B17D82"/>
    <w:rsid w:val="00B2507E"/>
    <w:rsid w:val="00B26DAF"/>
    <w:rsid w:val="00B30A96"/>
    <w:rsid w:val="00B35E5E"/>
    <w:rsid w:val="00B35E81"/>
    <w:rsid w:val="00B374E0"/>
    <w:rsid w:val="00B421F3"/>
    <w:rsid w:val="00B44665"/>
    <w:rsid w:val="00B4664E"/>
    <w:rsid w:val="00B506EA"/>
    <w:rsid w:val="00B509C4"/>
    <w:rsid w:val="00B51694"/>
    <w:rsid w:val="00B52B62"/>
    <w:rsid w:val="00B53460"/>
    <w:rsid w:val="00B53EE4"/>
    <w:rsid w:val="00B61C0F"/>
    <w:rsid w:val="00B621D5"/>
    <w:rsid w:val="00B62DF3"/>
    <w:rsid w:val="00B64758"/>
    <w:rsid w:val="00B66E03"/>
    <w:rsid w:val="00B70D3A"/>
    <w:rsid w:val="00B711C9"/>
    <w:rsid w:val="00B76480"/>
    <w:rsid w:val="00B7774D"/>
    <w:rsid w:val="00B81225"/>
    <w:rsid w:val="00B8230B"/>
    <w:rsid w:val="00B826C3"/>
    <w:rsid w:val="00B82D70"/>
    <w:rsid w:val="00B8342E"/>
    <w:rsid w:val="00B83B99"/>
    <w:rsid w:val="00B850A1"/>
    <w:rsid w:val="00B85627"/>
    <w:rsid w:val="00B86C83"/>
    <w:rsid w:val="00B87049"/>
    <w:rsid w:val="00B95445"/>
    <w:rsid w:val="00B95885"/>
    <w:rsid w:val="00BA13F5"/>
    <w:rsid w:val="00BA1EA8"/>
    <w:rsid w:val="00BA2855"/>
    <w:rsid w:val="00BA6AE5"/>
    <w:rsid w:val="00BA6F5B"/>
    <w:rsid w:val="00BB16FA"/>
    <w:rsid w:val="00BB29B8"/>
    <w:rsid w:val="00BB705B"/>
    <w:rsid w:val="00BC16FE"/>
    <w:rsid w:val="00BC2508"/>
    <w:rsid w:val="00BC2DDC"/>
    <w:rsid w:val="00BC68DB"/>
    <w:rsid w:val="00BC7B39"/>
    <w:rsid w:val="00BD2F61"/>
    <w:rsid w:val="00BD3B01"/>
    <w:rsid w:val="00BD464E"/>
    <w:rsid w:val="00BD4B03"/>
    <w:rsid w:val="00BD5CEE"/>
    <w:rsid w:val="00BD640A"/>
    <w:rsid w:val="00BD7256"/>
    <w:rsid w:val="00BD7CEB"/>
    <w:rsid w:val="00BE0617"/>
    <w:rsid w:val="00BE0762"/>
    <w:rsid w:val="00BE1578"/>
    <w:rsid w:val="00BE18A2"/>
    <w:rsid w:val="00BE4118"/>
    <w:rsid w:val="00BF0AA1"/>
    <w:rsid w:val="00BF0FF0"/>
    <w:rsid w:val="00BF35F3"/>
    <w:rsid w:val="00BF47F3"/>
    <w:rsid w:val="00BF7207"/>
    <w:rsid w:val="00C0012C"/>
    <w:rsid w:val="00C0049C"/>
    <w:rsid w:val="00C00784"/>
    <w:rsid w:val="00C05A75"/>
    <w:rsid w:val="00C16CC2"/>
    <w:rsid w:val="00C2184E"/>
    <w:rsid w:val="00C225B4"/>
    <w:rsid w:val="00C23F9C"/>
    <w:rsid w:val="00C24E52"/>
    <w:rsid w:val="00C2752E"/>
    <w:rsid w:val="00C3371F"/>
    <w:rsid w:val="00C34385"/>
    <w:rsid w:val="00C37218"/>
    <w:rsid w:val="00C4005D"/>
    <w:rsid w:val="00C41CA3"/>
    <w:rsid w:val="00C43E5C"/>
    <w:rsid w:val="00C47AE3"/>
    <w:rsid w:val="00C500B0"/>
    <w:rsid w:val="00C51B0E"/>
    <w:rsid w:val="00C51C3E"/>
    <w:rsid w:val="00C51C75"/>
    <w:rsid w:val="00C5345F"/>
    <w:rsid w:val="00C54AE7"/>
    <w:rsid w:val="00C56E54"/>
    <w:rsid w:val="00C604BB"/>
    <w:rsid w:val="00C62EF3"/>
    <w:rsid w:val="00C63464"/>
    <w:rsid w:val="00C63F43"/>
    <w:rsid w:val="00C64C25"/>
    <w:rsid w:val="00C67DA7"/>
    <w:rsid w:val="00C705FA"/>
    <w:rsid w:val="00C726D4"/>
    <w:rsid w:val="00C72D9B"/>
    <w:rsid w:val="00C73F53"/>
    <w:rsid w:val="00C76351"/>
    <w:rsid w:val="00C77DF4"/>
    <w:rsid w:val="00C90EFA"/>
    <w:rsid w:val="00C93F23"/>
    <w:rsid w:val="00C96A44"/>
    <w:rsid w:val="00C96AEF"/>
    <w:rsid w:val="00C96D06"/>
    <w:rsid w:val="00C975D4"/>
    <w:rsid w:val="00C97C8C"/>
    <w:rsid w:val="00CA0B2A"/>
    <w:rsid w:val="00CA257A"/>
    <w:rsid w:val="00CA4BB6"/>
    <w:rsid w:val="00CA566E"/>
    <w:rsid w:val="00CA5D1E"/>
    <w:rsid w:val="00CA7512"/>
    <w:rsid w:val="00CB5E8F"/>
    <w:rsid w:val="00CC1920"/>
    <w:rsid w:val="00CC2B7B"/>
    <w:rsid w:val="00CC2E1C"/>
    <w:rsid w:val="00CC3650"/>
    <w:rsid w:val="00CC7785"/>
    <w:rsid w:val="00CD03E7"/>
    <w:rsid w:val="00CD23CF"/>
    <w:rsid w:val="00CD3ACB"/>
    <w:rsid w:val="00CD7E3A"/>
    <w:rsid w:val="00CE0552"/>
    <w:rsid w:val="00CE1FC2"/>
    <w:rsid w:val="00CE2AB7"/>
    <w:rsid w:val="00CE582A"/>
    <w:rsid w:val="00CE6AFD"/>
    <w:rsid w:val="00CE7064"/>
    <w:rsid w:val="00CE70B7"/>
    <w:rsid w:val="00CF22B2"/>
    <w:rsid w:val="00CF2E04"/>
    <w:rsid w:val="00CF49E8"/>
    <w:rsid w:val="00CF5B84"/>
    <w:rsid w:val="00CF73CB"/>
    <w:rsid w:val="00D01AF2"/>
    <w:rsid w:val="00D03914"/>
    <w:rsid w:val="00D068BD"/>
    <w:rsid w:val="00D07021"/>
    <w:rsid w:val="00D07DE6"/>
    <w:rsid w:val="00D12763"/>
    <w:rsid w:val="00D133EC"/>
    <w:rsid w:val="00D138C4"/>
    <w:rsid w:val="00D13BD3"/>
    <w:rsid w:val="00D16155"/>
    <w:rsid w:val="00D17322"/>
    <w:rsid w:val="00D20AF7"/>
    <w:rsid w:val="00D21E7F"/>
    <w:rsid w:val="00D24447"/>
    <w:rsid w:val="00D25A82"/>
    <w:rsid w:val="00D26822"/>
    <w:rsid w:val="00D32ADF"/>
    <w:rsid w:val="00D3550B"/>
    <w:rsid w:val="00D36F63"/>
    <w:rsid w:val="00D4091C"/>
    <w:rsid w:val="00D42C8B"/>
    <w:rsid w:val="00D43220"/>
    <w:rsid w:val="00D43D59"/>
    <w:rsid w:val="00D44B54"/>
    <w:rsid w:val="00D45C5C"/>
    <w:rsid w:val="00D4640D"/>
    <w:rsid w:val="00D50DE9"/>
    <w:rsid w:val="00D52084"/>
    <w:rsid w:val="00D545D1"/>
    <w:rsid w:val="00D55FC6"/>
    <w:rsid w:val="00D56951"/>
    <w:rsid w:val="00D570EF"/>
    <w:rsid w:val="00D5741F"/>
    <w:rsid w:val="00D57889"/>
    <w:rsid w:val="00D57C9E"/>
    <w:rsid w:val="00D60E36"/>
    <w:rsid w:val="00D63F52"/>
    <w:rsid w:val="00D65BCF"/>
    <w:rsid w:val="00D67AC1"/>
    <w:rsid w:val="00D71150"/>
    <w:rsid w:val="00D711F2"/>
    <w:rsid w:val="00D741C5"/>
    <w:rsid w:val="00D7566D"/>
    <w:rsid w:val="00D75B43"/>
    <w:rsid w:val="00D76A0F"/>
    <w:rsid w:val="00D76A3D"/>
    <w:rsid w:val="00D77DDC"/>
    <w:rsid w:val="00D8004D"/>
    <w:rsid w:val="00D83387"/>
    <w:rsid w:val="00D8470A"/>
    <w:rsid w:val="00D84EB7"/>
    <w:rsid w:val="00D85245"/>
    <w:rsid w:val="00D85431"/>
    <w:rsid w:val="00D86352"/>
    <w:rsid w:val="00D9227A"/>
    <w:rsid w:val="00D9298F"/>
    <w:rsid w:val="00D945C2"/>
    <w:rsid w:val="00D96A20"/>
    <w:rsid w:val="00DA1CE4"/>
    <w:rsid w:val="00DA1F45"/>
    <w:rsid w:val="00DA2C62"/>
    <w:rsid w:val="00DA4C1B"/>
    <w:rsid w:val="00DA5F07"/>
    <w:rsid w:val="00DA655E"/>
    <w:rsid w:val="00DA79F9"/>
    <w:rsid w:val="00DB2F9B"/>
    <w:rsid w:val="00DB4D43"/>
    <w:rsid w:val="00DB6575"/>
    <w:rsid w:val="00DB7286"/>
    <w:rsid w:val="00DB7B28"/>
    <w:rsid w:val="00DB7B85"/>
    <w:rsid w:val="00DC0027"/>
    <w:rsid w:val="00DC2BF8"/>
    <w:rsid w:val="00DC6F86"/>
    <w:rsid w:val="00DD15C0"/>
    <w:rsid w:val="00DD1755"/>
    <w:rsid w:val="00DD1EAE"/>
    <w:rsid w:val="00DD2C59"/>
    <w:rsid w:val="00DD3A42"/>
    <w:rsid w:val="00DD46AE"/>
    <w:rsid w:val="00DD48C3"/>
    <w:rsid w:val="00DD4D36"/>
    <w:rsid w:val="00DD5284"/>
    <w:rsid w:val="00DE07B5"/>
    <w:rsid w:val="00DE2FC1"/>
    <w:rsid w:val="00DE4E9C"/>
    <w:rsid w:val="00DE59C1"/>
    <w:rsid w:val="00DE69F6"/>
    <w:rsid w:val="00DE70A0"/>
    <w:rsid w:val="00DF3317"/>
    <w:rsid w:val="00DF3FBD"/>
    <w:rsid w:val="00DF5FF6"/>
    <w:rsid w:val="00DF6535"/>
    <w:rsid w:val="00DF741C"/>
    <w:rsid w:val="00DF7A74"/>
    <w:rsid w:val="00E0210A"/>
    <w:rsid w:val="00E0246C"/>
    <w:rsid w:val="00E02819"/>
    <w:rsid w:val="00E0694F"/>
    <w:rsid w:val="00E10124"/>
    <w:rsid w:val="00E105F6"/>
    <w:rsid w:val="00E111F2"/>
    <w:rsid w:val="00E11B50"/>
    <w:rsid w:val="00E126BB"/>
    <w:rsid w:val="00E144F3"/>
    <w:rsid w:val="00E16B30"/>
    <w:rsid w:val="00E2105F"/>
    <w:rsid w:val="00E21A4C"/>
    <w:rsid w:val="00E22257"/>
    <w:rsid w:val="00E25611"/>
    <w:rsid w:val="00E2579F"/>
    <w:rsid w:val="00E30F27"/>
    <w:rsid w:val="00E33891"/>
    <w:rsid w:val="00E370DA"/>
    <w:rsid w:val="00E417EC"/>
    <w:rsid w:val="00E42E75"/>
    <w:rsid w:val="00E44E2A"/>
    <w:rsid w:val="00E45638"/>
    <w:rsid w:val="00E45CCE"/>
    <w:rsid w:val="00E45EB9"/>
    <w:rsid w:val="00E47976"/>
    <w:rsid w:val="00E50920"/>
    <w:rsid w:val="00E5109A"/>
    <w:rsid w:val="00E51E5E"/>
    <w:rsid w:val="00E523D7"/>
    <w:rsid w:val="00E52A39"/>
    <w:rsid w:val="00E538DC"/>
    <w:rsid w:val="00E5583B"/>
    <w:rsid w:val="00E5782C"/>
    <w:rsid w:val="00E611F3"/>
    <w:rsid w:val="00E63D36"/>
    <w:rsid w:val="00E643C8"/>
    <w:rsid w:val="00E64A8B"/>
    <w:rsid w:val="00E67FAC"/>
    <w:rsid w:val="00E70EF0"/>
    <w:rsid w:val="00E711EA"/>
    <w:rsid w:val="00E713C3"/>
    <w:rsid w:val="00E71B86"/>
    <w:rsid w:val="00E71EC2"/>
    <w:rsid w:val="00E73A3F"/>
    <w:rsid w:val="00E73D8A"/>
    <w:rsid w:val="00E779B9"/>
    <w:rsid w:val="00E80088"/>
    <w:rsid w:val="00E8099C"/>
    <w:rsid w:val="00E81BA2"/>
    <w:rsid w:val="00E81CBF"/>
    <w:rsid w:val="00E8277D"/>
    <w:rsid w:val="00E835F9"/>
    <w:rsid w:val="00E836B6"/>
    <w:rsid w:val="00E850D2"/>
    <w:rsid w:val="00E8586D"/>
    <w:rsid w:val="00E86480"/>
    <w:rsid w:val="00E9093E"/>
    <w:rsid w:val="00E90EAD"/>
    <w:rsid w:val="00E911EE"/>
    <w:rsid w:val="00E91383"/>
    <w:rsid w:val="00E92F30"/>
    <w:rsid w:val="00E93509"/>
    <w:rsid w:val="00E9478C"/>
    <w:rsid w:val="00E95464"/>
    <w:rsid w:val="00E96AFF"/>
    <w:rsid w:val="00E976A3"/>
    <w:rsid w:val="00EA467E"/>
    <w:rsid w:val="00EA5847"/>
    <w:rsid w:val="00EA5C40"/>
    <w:rsid w:val="00EB17BB"/>
    <w:rsid w:val="00EB51FC"/>
    <w:rsid w:val="00EB5DCF"/>
    <w:rsid w:val="00EB6CAD"/>
    <w:rsid w:val="00EC1582"/>
    <w:rsid w:val="00EC1A31"/>
    <w:rsid w:val="00EC22F4"/>
    <w:rsid w:val="00EC3417"/>
    <w:rsid w:val="00EC56E0"/>
    <w:rsid w:val="00EC5D7B"/>
    <w:rsid w:val="00ED1A0A"/>
    <w:rsid w:val="00ED1BBF"/>
    <w:rsid w:val="00ED26FF"/>
    <w:rsid w:val="00ED29BC"/>
    <w:rsid w:val="00ED3D4D"/>
    <w:rsid w:val="00ED6116"/>
    <w:rsid w:val="00ED6291"/>
    <w:rsid w:val="00EE240D"/>
    <w:rsid w:val="00EE3924"/>
    <w:rsid w:val="00EE3AC6"/>
    <w:rsid w:val="00EE5090"/>
    <w:rsid w:val="00EE598D"/>
    <w:rsid w:val="00EE5FE3"/>
    <w:rsid w:val="00EF0474"/>
    <w:rsid w:val="00EF1500"/>
    <w:rsid w:val="00EF1CE5"/>
    <w:rsid w:val="00EF55C4"/>
    <w:rsid w:val="00EF725F"/>
    <w:rsid w:val="00F00DA5"/>
    <w:rsid w:val="00F02239"/>
    <w:rsid w:val="00F0296C"/>
    <w:rsid w:val="00F03674"/>
    <w:rsid w:val="00F04072"/>
    <w:rsid w:val="00F0784E"/>
    <w:rsid w:val="00F10599"/>
    <w:rsid w:val="00F107DF"/>
    <w:rsid w:val="00F11406"/>
    <w:rsid w:val="00F123DA"/>
    <w:rsid w:val="00F14F78"/>
    <w:rsid w:val="00F1554D"/>
    <w:rsid w:val="00F16374"/>
    <w:rsid w:val="00F164E2"/>
    <w:rsid w:val="00F20311"/>
    <w:rsid w:val="00F2057D"/>
    <w:rsid w:val="00F216AF"/>
    <w:rsid w:val="00F23080"/>
    <w:rsid w:val="00F270E3"/>
    <w:rsid w:val="00F273B7"/>
    <w:rsid w:val="00F30751"/>
    <w:rsid w:val="00F31006"/>
    <w:rsid w:val="00F35222"/>
    <w:rsid w:val="00F35AB6"/>
    <w:rsid w:val="00F35C7A"/>
    <w:rsid w:val="00F41AE8"/>
    <w:rsid w:val="00F42542"/>
    <w:rsid w:val="00F435D5"/>
    <w:rsid w:val="00F45B52"/>
    <w:rsid w:val="00F5033E"/>
    <w:rsid w:val="00F51531"/>
    <w:rsid w:val="00F5225C"/>
    <w:rsid w:val="00F57817"/>
    <w:rsid w:val="00F62C5C"/>
    <w:rsid w:val="00F62C78"/>
    <w:rsid w:val="00F651CD"/>
    <w:rsid w:val="00F676E7"/>
    <w:rsid w:val="00F67758"/>
    <w:rsid w:val="00F70E2C"/>
    <w:rsid w:val="00F70E59"/>
    <w:rsid w:val="00F73A40"/>
    <w:rsid w:val="00F77503"/>
    <w:rsid w:val="00F779D7"/>
    <w:rsid w:val="00F905BF"/>
    <w:rsid w:val="00F91F0C"/>
    <w:rsid w:val="00F92887"/>
    <w:rsid w:val="00F93871"/>
    <w:rsid w:val="00F938FB"/>
    <w:rsid w:val="00F945FA"/>
    <w:rsid w:val="00F9488A"/>
    <w:rsid w:val="00F94B8C"/>
    <w:rsid w:val="00F95E3B"/>
    <w:rsid w:val="00F96646"/>
    <w:rsid w:val="00F96D5A"/>
    <w:rsid w:val="00FA22DA"/>
    <w:rsid w:val="00FA3513"/>
    <w:rsid w:val="00FA41CA"/>
    <w:rsid w:val="00FA496B"/>
    <w:rsid w:val="00FA706B"/>
    <w:rsid w:val="00FB3CF9"/>
    <w:rsid w:val="00FB3CFD"/>
    <w:rsid w:val="00FB43C4"/>
    <w:rsid w:val="00FB4844"/>
    <w:rsid w:val="00FB5DC2"/>
    <w:rsid w:val="00FB6C4B"/>
    <w:rsid w:val="00FB7384"/>
    <w:rsid w:val="00FC21D6"/>
    <w:rsid w:val="00FC4E43"/>
    <w:rsid w:val="00FC6952"/>
    <w:rsid w:val="00FC7B42"/>
    <w:rsid w:val="00FD2DEF"/>
    <w:rsid w:val="00FD31BE"/>
    <w:rsid w:val="00FD5AE3"/>
    <w:rsid w:val="00FE087B"/>
    <w:rsid w:val="00FE30D1"/>
    <w:rsid w:val="00FE33BD"/>
    <w:rsid w:val="00FE5409"/>
    <w:rsid w:val="00FE710F"/>
    <w:rsid w:val="00FF0618"/>
    <w:rsid w:val="00FF09E5"/>
    <w:rsid w:val="00FF0C67"/>
    <w:rsid w:val="00FF23AA"/>
    <w:rsid w:val="00FF3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horizontal-relative:page;mso-position-vertical-relative:page" fill="f" fillcolor="white">
      <v:fill color="whit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1D463D"/>
    <w:pPr>
      <w:tabs>
        <w:tab w:val="left" w:pos="2552"/>
        <w:tab w:val="left" w:pos="4536"/>
        <w:tab w:val="left" w:pos="6804"/>
      </w:tabs>
    </w:pPr>
    <w:rPr>
      <w:rFonts w:ascii="Arial" w:hAnsi="Arial"/>
      <w:sz w:val="22"/>
    </w:rPr>
  </w:style>
  <w:style w:type="paragraph" w:styleId="berschrift1">
    <w:name w:val="heading 1"/>
    <w:basedOn w:val="Standard"/>
    <w:next w:val="Standard"/>
    <w:qFormat/>
    <w:rsid w:val="009A31AF"/>
    <w:pPr>
      <w:keepNext/>
      <w:numPr>
        <w:numId w:val="1"/>
      </w:numPr>
      <w:tabs>
        <w:tab w:val="clear" w:pos="2552"/>
        <w:tab w:val="clear" w:pos="4536"/>
        <w:tab w:val="clear" w:pos="6804"/>
        <w:tab w:val="left" w:pos="567"/>
      </w:tabs>
      <w:spacing w:before="360" w:after="240"/>
      <w:outlineLvl w:val="0"/>
    </w:pPr>
    <w:rPr>
      <w:b/>
      <w:sz w:val="24"/>
    </w:rPr>
  </w:style>
  <w:style w:type="paragraph" w:styleId="berschrift2">
    <w:name w:val="heading 2"/>
    <w:basedOn w:val="Standard"/>
    <w:next w:val="Standard"/>
    <w:autoRedefine/>
    <w:qFormat/>
    <w:rsid w:val="00E73A3F"/>
    <w:pPr>
      <w:keepNext/>
      <w:numPr>
        <w:ilvl w:val="1"/>
        <w:numId w:val="1"/>
      </w:numPr>
      <w:tabs>
        <w:tab w:val="clear" w:pos="2552"/>
        <w:tab w:val="clear" w:pos="4536"/>
        <w:tab w:val="clear" w:pos="6804"/>
      </w:tabs>
      <w:spacing w:before="320" w:after="40"/>
      <w:outlineLvl w:val="1"/>
    </w:pPr>
    <w:rPr>
      <w:b/>
      <w:lang w:val="en-GB"/>
    </w:rPr>
  </w:style>
  <w:style w:type="paragraph" w:styleId="berschrift3">
    <w:name w:val="heading 3"/>
    <w:basedOn w:val="Standard"/>
    <w:next w:val="Standard"/>
    <w:autoRedefine/>
    <w:qFormat/>
    <w:rsid w:val="009A46C5"/>
    <w:pPr>
      <w:keepNext/>
      <w:numPr>
        <w:ilvl w:val="2"/>
        <w:numId w:val="1"/>
      </w:numPr>
      <w:tabs>
        <w:tab w:val="clear" w:pos="2552"/>
        <w:tab w:val="clear" w:pos="4536"/>
        <w:tab w:val="clear" w:pos="6804"/>
        <w:tab w:val="left" w:pos="900"/>
      </w:tabs>
      <w:spacing w:before="280"/>
      <w:ind w:left="0"/>
      <w:outlineLvl w:val="2"/>
    </w:pPr>
    <w:rPr>
      <w:b/>
    </w:rPr>
  </w:style>
  <w:style w:type="paragraph" w:styleId="berschrift4">
    <w:name w:val="heading 4"/>
    <w:basedOn w:val="Standard"/>
    <w:next w:val="Standard"/>
    <w:qFormat/>
    <w:rsid w:val="00695BE5"/>
    <w:pPr>
      <w:keepNext/>
      <w:numPr>
        <w:ilvl w:val="3"/>
        <w:numId w:val="1"/>
      </w:numPr>
      <w:spacing w:before="160"/>
      <w:outlineLvl w:val="3"/>
    </w:pPr>
  </w:style>
  <w:style w:type="paragraph" w:styleId="berschrift5">
    <w:name w:val="heading 5"/>
    <w:basedOn w:val="Standard"/>
    <w:next w:val="Standard"/>
    <w:qFormat/>
    <w:rsid w:val="00695BE5"/>
    <w:pPr>
      <w:numPr>
        <w:ilvl w:val="4"/>
        <w:numId w:val="1"/>
      </w:numPr>
      <w:spacing w:before="240" w:after="60"/>
      <w:outlineLvl w:val="4"/>
    </w:pPr>
  </w:style>
  <w:style w:type="paragraph" w:styleId="berschrift6">
    <w:name w:val="heading 6"/>
    <w:basedOn w:val="Standard"/>
    <w:next w:val="Standard"/>
    <w:qFormat/>
    <w:rsid w:val="00695BE5"/>
    <w:pPr>
      <w:numPr>
        <w:ilvl w:val="5"/>
        <w:numId w:val="1"/>
      </w:numPr>
      <w:spacing w:before="240" w:after="60"/>
      <w:outlineLvl w:val="5"/>
    </w:pPr>
    <w:rPr>
      <w:rFonts w:ascii="Times New Roman" w:hAnsi="Times New Roman"/>
      <w:i/>
    </w:rPr>
  </w:style>
  <w:style w:type="paragraph" w:styleId="berschrift7">
    <w:name w:val="heading 7"/>
    <w:basedOn w:val="Standard"/>
    <w:next w:val="Standard"/>
    <w:qFormat/>
    <w:rsid w:val="00695BE5"/>
    <w:pPr>
      <w:numPr>
        <w:ilvl w:val="6"/>
        <w:numId w:val="1"/>
      </w:numPr>
      <w:spacing w:before="240" w:after="60"/>
      <w:outlineLvl w:val="6"/>
    </w:pPr>
  </w:style>
  <w:style w:type="paragraph" w:styleId="berschrift8">
    <w:name w:val="heading 8"/>
    <w:basedOn w:val="Standard"/>
    <w:next w:val="Standard"/>
    <w:qFormat/>
    <w:rsid w:val="00695BE5"/>
    <w:pPr>
      <w:numPr>
        <w:ilvl w:val="7"/>
        <w:numId w:val="1"/>
      </w:numPr>
      <w:spacing w:before="240" w:after="60"/>
      <w:outlineLvl w:val="7"/>
    </w:pPr>
    <w:rPr>
      <w:i/>
    </w:rPr>
  </w:style>
  <w:style w:type="paragraph" w:styleId="berschrift9">
    <w:name w:val="heading 9"/>
    <w:basedOn w:val="Standard"/>
    <w:next w:val="Standard"/>
    <w:qFormat/>
    <w:rsid w:val="00695BE5"/>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95BE5"/>
    <w:pPr>
      <w:tabs>
        <w:tab w:val="center" w:pos="4536"/>
        <w:tab w:val="right" w:pos="9072"/>
      </w:tabs>
    </w:pPr>
    <w:rPr>
      <w:sz w:val="16"/>
    </w:rPr>
  </w:style>
  <w:style w:type="paragraph" w:customStyle="1" w:styleId="StandardBlock">
    <w:name w:val="Standard Block"/>
    <w:basedOn w:val="Standard"/>
    <w:link w:val="StandardBlockZchn"/>
    <w:rsid w:val="00A442F9"/>
    <w:pPr>
      <w:spacing w:before="120" w:after="60"/>
      <w:jc w:val="both"/>
    </w:pPr>
    <w:rPr>
      <w:lang w:val="en-GB"/>
    </w:rPr>
  </w:style>
  <w:style w:type="paragraph" w:styleId="Kopfzeile">
    <w:name w:val="header"/>
    <w:basedOn w:val="Standard"/>
    <w:rsid w:val="00695BE5"/>
    <w:pPr>
      <w:tabs>
        <w:tab w:val="center" w:pos="4536"/>
        <w:tab w:val="right" w:pos="9072"/>
      </w:tabs>
    </w:pPr>
  </w:style>
  <w:style w:type="paragraph" w:customStyle="1" w:styleId="Abstand">
    <w:name w:val="Abstand"/>
    <w:basedOn w:val="Standard"/>
    <w:rsid w:val="00695BE5"/>
    <w:pPr>
      <w:tabs>
        <w:tab w:val="left" w:pos="567"/>
        <w:tab w:val="left" w:pos="2268"/>
        <w:tab w:val="left" w:pos="3572"/>
        <w:tab w:val="left" w:pos="5103"/>
      </w:tabs>
    </w:pPr>
    <w:rPr>
      <w:sz w:val="12"/>
    </w:rPr>
  </w:style>
  <w:style w:type="paragraph" w:styleId="Aufzhlungszeichen">
    <w:name w:val="List Bullet"/>
    <w:basedOn w:val="Standard"/>
    <w:autoRedefine/>
    <w:rsid w:val="00E92F30"/>
    <w:pPr>
      <w:tabs>
        <w:tab w:val="left" w:pos="360"/>
      </w:tabs>
      <w:spacing w:before="60"/>
    </w:pPr>
  </w:style>
  <w:style w:type="paragraph" w:customStyle="1" w:styleId="StandardZF4pt">
    <w:name w:val="Standard + Z + F + 4pt"/>
    <w:basedOn w:val="Standard"/>
    <w:next w:val="Standard"/>
    <w:rsid w:val="00695BE5"/>
    <w:pPr>
      <w:spacing w:before="80"/>
      <w:jc w:val="center"/>
    </w:pPr>
    <w:rPr>
      <w:b/>
    </w:rPr>
  </w:style>
  <w:style w:type="paragraph" w:customStyle="1" w:styleId="Titel2">
    <w:name w:val="Titel 2"/>
    <w:basedOn w:val="Standard"/>
    <w:next w:val="Standard"/>
    <w:rsid w:val="00695BE5"/>
    <w:pPr>
      <w:spacing w:before="120"/>
      <w:jc w:val="center"/>
    </w:pPr>
    <w:rPr>
      <w:b/>
    </w:rPr>
  </w:style>
  <w:style w:type="paragraph" w:customStyle="1" w:styleId="StandardZentriert">
    <w:name w:val="Standard + Zentriert"/>
    <w:basedOn w:val="Standard"/>
    <w:next w:val="Standard"/>
    <w:rsid w:val="00695BE5"/>
    <w:pPr>
      <w:jc w:val="center"/>
    </w:pPr>
  </w:style>
  <w:style w:type="paragraph" w:customStyle="1" w:styleId="Mitg">
    <w:name w:val="Mitg."/>
    <w:basedOn w:val="Standard"/>
    <w:rsid w:val="00695BE5"/>
  </w:style>
  <w:style w:type="paragraph" w:customStyle="1" w:styleId="Leerzeile">
    <w:name w:val="Leerzeile"/>
    <w:basedOn w:val="Standard"/>
    <w:rsid w:val="00695BE5"/>
  </w:style>
  <w:style w:type="paragraph" w:styleId="Verzeichnis1">
    <w:name w:val="toc 1"/>
    <w:basedOn w:val="Standard"/>
    <w:next w:val="Standard"/>
    <w:autoRedefine/>
    <w:uiPriority w:val="39"/>
    <w:rsid w:val="00010823"/>
    <w:pPr>
      <w:tabs>
        <w:tab w:val="clear" w:pos="2552"/>
        <w:tab w:val="clear" w:pos="4536"/>
        <w:tab w:val="clear" w:pos="6804"/>
        <w:tab w:val="left" w:pos="709"/>
        <w:tab w:val="right" w:pos="9624"/>
        <w:tab w:val="right" w:leader="dot" w:pos="10195"/>
      </w:tabs>
    </w:pPr>
    <w:rPr>
      <w:b/>
      <w:noProof/>
      <w:szCs w:val="24"/>
    </w:rPr>
  </w:style>
  <w:style w:type="paragraph" w:styleId="Verzeichnis2">
    <w:name w:val="toc 2"/>
    <w:basedOn w:val="Standard"/>
    <w:next w:val="Standard"/>
    <w:autoRedefine/>
    <w:uiPriority w:val="39"/>
    <w:rsid w:val="00D17322"/>
    <w:pPr>
      <w:tabs>
        <w:tab w:val="clear" w:pos="2552"/>
        <w:tab w:val="clear" w:pos="4536"/>
        <w:tab w:val="clear" w:pos="6804"/>
        <w:tab w:val="left" w:pos="720"/>
        <w:tab w:val="right" w:leader="dot" w:pos="9612"/>
      </w:tabs>
      <w:spacing w:after="60"/>
    </w:pPr>
    <w:rPr>
      <w:noProof/>
    </w:rPr>
  </w:style>
  <w:style w:type="paragraph" w:styleId="Verzeichnis3">
    <w:name w:val="toc 3"/>
    <w:basedOn w:val="Standard"/>
    <w:next w:val="Standard"/>
    <w:autoRedefine/>
    <w:uiPriority w:val="39"/>
    <w:rsid w:val="00D17322"/>
    <w:pPr>
      <w:tabs>
        <w:tab w:val="clear" w:pos="2552"/>
        <w:tab w:val="clear" w:pos="4536"/>
        <w:tab w:val="clear" w:pos="6804"/>
        <w:tab w:val="left" w:pos="720"/>
        <w:tab w:val="right" w:pos="9624"/>
      </w:tabs>
      <w:spacing w:after="60"/>
    </w:pPr>
    <w:rPr>
      <w:noProof/>
    </w:rPr>
  </w:style>
  <w:style w:type="character" w:styleId="Hyperlink">
    <w:name w:val="Hyperlink"/>
    <w:uiPriority w:val="99"/>
    <w:rsid w:val="00695BE5"/>
    <w:rPr>
      <w:color w:val="0000FF"/>
      <w:sz w:val="24"/>
      <w:u w:val="single"/>
    </w:rPr>
  </w:style>
  <w:style w:type="character" w:customStyle="1" w:styleId="StandardBlockChar">
    <w:name w:val="Standard Block Char"/>
    <w:rsid w:val="00695BE5"/>
    <w:rPr>
      <w:rFonts w:ascii="Arial" w:hAnsi="Arial"/>
      <w:noProof w:val="0"/>
      <w:lang w:val="de-DE" w:eastAsia="de-DE" w:bidi="ar-SA"/>
    </w:rPr>
  </w:style>
  <w:style w:type="paragraph" w:styleId="Titel">
    <w:name w:val="Title"/>
    <w:basedOn w:val="Standard"/>
    <w:qFormat/>
    <w:rsid w:val="00CC2E1C"/>
    <w:rPr>
      <w:sz w:val="28"/>
    </w:rPr>
  </w:style>
  <w:style w:type="paragraph" w:styleId="Sprechblasentext">
    <w:name w:val="Balloon Text"/>
    <w:basedOn w:val="Standard"/>
    <w:semiHidden/>
    <w:rsid w:val="00C96A44"/>
    <w:rPr>
      <w:rFonts w:ascii="Tahoma" w:hAnsi="Tahoma" w:cs="Tahoma"/>
      <w:sz w:val="16"/>
      <w:szCs w:val="16"/>
    </w:rPr>
  </w:style>
  <w:style w:type="character" w:styleId="BesuchterLink">
    <w:name w:val="FollowedHyperlink"/>
    <w:rsid w:val="003C646B"/>
    <w:rPr>
      <w:color w:val="800080"/>
      <w:u w:val="single"/>
    </w:rPr>
  </w:style>
  <w:style w:type="paragraph" w:customStyle="1" w:styleId="Tabelle9Links">
    <w:name w:val="Tabelle 9 + Links"/>
    <w:basedOn w:val="Standard"/>
    <w:rsid w:val="00832B2A"/>
    <w:pPr>
      <w:tabs>
        <w:tab w:val="clear" w:pos="2552"/>
        <w:tab w:val="clear" w:pos="4536"/>
        <w:tab w:val="clear" w:pos="6804"/>
        <w:tab w:val="decimal" w:pos="680"/>
      </w:tabs>
    </w:pPr>
    <w:rPr>
      <w:sz w:val="18"/>
    </w:rPr>
  </w:style>
  <w:style w:type="table" w:styleId="Tabellenraster">
    <w:name w:val="Table Grid"/>
    <w:basedOn w:val="NormaleTabelle"/>
    <w:rsid w:val="00F2057D"/>
    <w:pPr>
      <w:tabs>
        <w:tab w:val="left" w:pos="2552"/>
        <w:tab w:val="left" w:pos="4536"/>
        <w:tab w:val="left" w:pos="680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mitPunkt">
    <w:name w:val="Aufzählung mit Punkt"/>
    <w:basedOn w:val="StandardBlock"/>
    <w:rsid w:val="00BE18A2"/>
    <w:pPr>
      <w:numPr>
        <w:numId w:val="2"/>
      </w:numPr>
      <w:spacing w:before="40" w:after="0"/>
    </w:pPr>
    <w:rPr>
      <w:color w:val="000000"/>
      <w:szCs w:val="22"/>
    </w:rPr>
  </w:style>
  <w:style w:type="character" w:customStyle="1" w:styleId="StandardBlockZchn">
    <w:name w:val="Standard Block Zchn"/>
    <w:link w:val="StandardBlock"/>
    <w:rsid w:val="00A442F9"/>
    <w:rPr>
      <w:rFonts w:ascii="Arial" w:hAnsi="Arial"/>
      <w:sz w:val="22"/>
      <w:lang w:val="en-GB" w:eastAsia="de-DE" w:bidi="ar-SA"/>
    </w:rPr>
  </w:style>
  <w:style w:type="paragraph" w:styleId="NurText">
    <w:name w:val="Plain Text"/>
    <w:basedOn w:val="Standard"/>
    <w:rsid w:val="009D4795"/>
    <w:pPr>
      <w:tabs>
        <w:tab w:val="clear" w:pos="2552"/>
        <w:tab w:val="clear" w:pos="4536"/>
        <w:tab w:val="clear" w:pos="6804"/>
      </w:tabs>
    </w:pPr>
    <w:rPr>
      <w:rFonts w:ascii="Courier New" w:hAnsi="Courier New" w:cs="Courier New"/>
      <w:sz w:val="20"/>
    </w:rPr>
  </w:style>
  <w:style w:type="paragraph" w:customStyle="1" w:styleId="Standard2">
    <w:name w:val="Standard 2"/>
    <w:basedOn w:val="Standard"/>
    <w:rsid w:val="00272B71"/>
    <w:pPr>
      <w:tabs>
        <w:tab w:val="clear" w:pos="2552"/>
        <w:tab w:val="clear" w:pos="4536"/>
        <w:tab w:val="clear" w:pos="6804"/>
      </w:tabs>
      <w:spacing w:before="60" w:after="60"/>
      <w:ind w:left="992"/>
    </w:pPr>
    <w:rPr>
      <w:rFonts w:eastAsia="Batang"/>
      <w:lang w:eastAsia="ko-KR"/>
    </w:rPr>
  </w:style>
  <w:style w:type="paragraph" w:styleId="Dokumentstruktur">
    <w:name w:val="Document Map"/>
    <w:basedOn w:val="Standard"/>
    <w:semiHidden/>
    <w:rsid w:val="00C76351"/>
    <w:pPr>
      <w:shd w:val="clear" w:color="auto" w:fill="000080"/>
    </w:pPr>
    <w:rPr>
      <w:rFonts w:ascii="Tahoma" w:hAnsi="Tahoma" w:cs="Tahoma"/>
      <w:sz w:val="20"/>
    </w:rPr>
  </w:style>
  <w:style w:type="paragraph" w:customStyle="1" w:styleId="Vorgabetext">
    <w:name w:val="Vorgabetext"/>
    <w:basedOn w:val="Standard"/>
    <w:rsid w:val="003955EE"/>
    <w:pPr>
      <w:tabs>
        <w:tab w:val="clear" w:pos="2552"/>
        <w:tab w:val="clear" w:pos="4536"/>
        <w:tab w:val="clear" w:pos="6804"/>
      </w:tabs>
      <w:ind w:left="340"/>
      <w:jc w:val="both"/>
    </w:pPr>
  </w:style>
  <w:style w:type="character" w:customStyle="1" w:styleId="headline-1">
    <w:name w:val="headline-1"/>
    <w:basedOn w:val="Absatz-Standardschriftart"/>
    <w:rsid w:val="008D3844"/>
  </w:style>
  <w:style w:type="character" w:styleId="Kommentarzeichen">
    <w:name w:val="annotation reference"/>
    <w:semiHidden/>
    <w:rsid w:val="00D8004D"/>
    <w:rPr>
      <w:sz w:val="16"/>
      <w:szCs w:val="16"/>
    </w:rPr>
  </w:style>
  <w:style w:type="paragraph" w:styleId="Kommentartext">
    <w:name w:val="annotation text"/>
    <w:basedOn w:val="Standard"/>
    <w:semiHidden/>
    <w:rsid w:val="00D8004D"/>
    <w:rPr>
      <w:sz w:val="20"/>
    </w:rPr>
  </w:style>
  <w:style w:type="paragraph" w:styleId="Kommentarthema">
    <w:name w:val="annotation subject"/>
    <w:basedOn w:val="Kommentartext"/>
    <w:next w:val="Kommentartext"/>
    <w:semiHidden/>
    <w:rsid w:val="00D8004D"/>
    <w:rPr>
      <w:b/>
      <w:bCs/>
    </w:rPr>
  </w:style>
  <w:style w:type="character" w:styleId="Erwhnung">
    <w:name w:val="Mention"/>
    <w:uiPriority w:val="99"/>
    <w:semiHidden/>
    <w:unhideWhenUsed/>
    <w:rsid w:val="003022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2284">
      <w:bodyDiv w:val="1"/>
      <w:marLeft w:val="0"/>
      <w:marRight w:val="0"/>
      <w:marTop w:val="0"/>
      <w:marBottom w:val="0"/>
      <w:divBdr>
        <w:top w:val="none" w:sz="0" w:space="0" w:color="auto"/>
        <w:left w:val="none" w:sz="0" w:space="0" w:color="auto"/>
        <w:bottom w:val="none" w:sz="0" w:space="0" w:color="auto"/>
        <w:right w:val="none" w:sz="0" w:space="0" w:color="auto"/>
      </w:divBdr>
      <w:divsChild>
        <w:div w:id="688802205">
          <w:marLeft w:val="0"/>
          <w:marRight w:val="0"/>
          <w:marTop w:val="0"/>
          <w:marBottom w:val="0"/>
          <w:divBdr>
            <w:top w:val="none" w:sz="0" w:space="0" w:color="auto"/>
            <w:left w:val="none" w:sz="0" w:space="0" w:color="auto"/>
            <w:bottom w:val="none" w:sz="0" w:space="0" w:color="auto"/>
            <w:right w:val="none" w:sz="0" w:space="0" w:color="auto"/>
          </w:divBdr>
          <w:divsChild>
            <w:div w:id="946275229">
              <w:marLeft w:val="0"/>
              <w:marRight w:val="0"/>
              <w:marTop w:val="0"/>
              <w:marBottom w:val="0"/>
              <w:divBdr>
                <w:top w:val="none" w:sz="0" w:space="0" w:color="auto"/>
                <w:left w:val="none" w:sz="0" w:space="0" w:color="auto"/>
                <w:bottom w:val="none" w:sz="0" w:space="0" w:color="auto"/>
                <w:right w:val="none" w:sz="0" w:space="0" w:color="auto"/>
              </w:divBdr>
              <w:divsChild>
                <w:div w:id="1638294777">
                  <w:marLeft w:val="0"/>
                  <w:marRight w:val="0"/>
                  <w:marTop w:val="0"/>
                  <w:marBottom w:val="0"/>
                  <w:divBdr>
                    <w:top w:val="none" w:sz="0" w:space="0" w:color="auto"/>
                    <w:left w:val="none" w:sz="0" w:space="0" w:color="auto"/>
                    <w:bottom w:val="none" w:sz="0" w:space="0" w:color="auto"/>
                    <w:right w:val="none" w:sz="0" w:space="0" w:color="auto"/>
                  </w:divBdr>
                  <w:divsChild>
                    <w:div w:id="10084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5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suply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haeffler.de" TargetMode="External"/><Relationship Id="rId4" Type="http://schemas.openxmlformats.org/officeDocument/2006/relationships/settings" Target="settings.xml"/><Relationship Id="rId9" Type="http://schemas.openxmlformats.org/officeDocument/2006/relationships/hyperlink" Target="http://www.aiag.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636F-10A8-4C7F-8DE1-0E8FF05C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4889</Words>
  <Characters>30802</Characters>
  <Application>Microsoft Office Word</Application>
  <DocSecurity>0</DocSecurity>
  <Lines>256</Lines>
  <Paragraphs>71</Paragraphs>
  <ScaleCrop>false</ScaleCrop>
  <HeadingPairs>
    <vt:vector size="6" baseType="variant">
      <vt:variant>
        <vt:lpstr>Titel</vt:lpstr>
      </vt:variant>
      <vt:variant>
        <vt:i4>1</vt:i4>
      </vt:variant>
      <vt:variant>
        <vt:lpstr>Title</vt:lpstr>
      </vt:variant>
      <vt:variant>
        <vt:i4>1</vt:i4>
      </vt:variant>
      <vt:variant>
        <vt:lpstr>Headings</vt:lpstr>
      </vt:variant>
      <vt:variant>
        <vt:i4>47</vt:i4>
      </vt:variant>
    </vt:vector>
  </HeadingPairs>
  <TitlesOfParts>
    <vt:vector size="49" baseType="lpstr">
      <vt:lpstr>Quality Assurance Agreeement with Production Material Suppliers</vt:lpstr>
      <vt:lpstr>Quality Assurance Agreeement with Production Material Suppliers</vt:lpstr>
      <vt:lpstr>Verantwortung des Lieferanten für die Qualität seiner Produkte und Dienstleistu</vt:lpstr>
      <vt:lpstr>Qualitätsmanagementsystem</vt:lpstr>
      <vt:lpstr>    Allgemeines</vt:lpstr>
      <vt:lpstr>    Nachweis des Qualitätsmanagementsystem</vt:lpstr>
      <vt:lpstr>    Überprüfung des Qualitätsmanagementsystem, der Prozess- bzw. Produktqualität</vt:lpstr>
      <vt:lpstr>Grundsätzliche Voraussetzungen und Maßnahmen</vt:lpstr>
      <vt:lpstr>    Technische Unterlagen</vt:lpstr>
      <vt:lpstr>    Qualitätsvorausplanung</vt:lpstr>
      <vt:lpstr>        Beurteilung der Herstellbarkeit eines Produktes</vt:lpstr>
      <vt:lpstr>        Kennzeichnung und Rückverfolgbarkeit</vt:lpstr>
      <vt:lpstr>        Vom Kunden beigestellte Produkte</vt:lpstr>
      <vt:lpstr>        Vom Kunden freigegebene Bezugsquellen für Spezialprozesse</vt:lpstr>
      <vt:lpstr>        Analyse der Fehlermöglichkeiten</vt:lpstr>
      <vt:lpstr>    Erstmusterprüfung nach AS 9102</vt:lpstr>
      <vt:lpstr>    Statistische Prozessregelung und Serienprüfung </vt:lpstr>
      <vt:lpstr>    Lenkung fehlerhafter Produkte</vt:lpstr>
      <vt:lpstr>        Entdecken von Fehlern beim Lieferanten</vt:lpstr>
      <vt:lpstr>        Obligatorische Meldung von fehlerverdächtigen Produkten</vt:lpstr>
      <vt:lpstr>    Antrag auf Sonderfreigabe</vt:lpstr>
      <vt:lpstr>        Antrag auf Abweichgenehmigung / Sonderfreigabe</vt:lpstr>
      <vt:lpstr>        Antrag auf Änderungsgenehmigung</vt:lpstr>
      <vt:lpstr>    Entdecken vom Fehlern beim Kunden</vt:lpstr>
      <vt:lpstr>    Eskalationsprozess</vt:lpstr>
      <vt:lpstr>    Konservierung, Verpackung und Kennzeichnung</vt:lpstr>
      <vt:lpstr>        Konservierung</vt:lpstr>
      <vt:lpstr>        Verpackung und Kennzeichnung</vt:lpstr>
      <vt:lpstr>    Funktions-, Zuverlässigkeits- und Lebensdauerprüfungen</vt:lpstr>
      <vt:lpstr>    Freigabebescheinigung</vt:lpstr>
      <vt:lpstr>    Archivierung von Aufzeichnungen</vt:lpstr>
      <vt:lpstr>    Prüfmittel</vt:lpstr>
      <vt:lpstr>    Umwelt, Sicherheit, Recycling</vt:lpstr>
      <vt:lpstr>    Überprüfung der angelieferten Vertragsprodukte</vt:lpstr>
      <vt:lpstr>    Liefertreue</vt:lpstr>
      <vt:lpstr>    Schulung und Qualifizierung der Mitarbeiter</vt:lpstr>
      <vt:lpstr>Erweiterte Kundenanforderungen</vt:lpstr>
      <vt:lpstr>    Prozessüberwachung mittels CQI-Assessments</vt:lpstr>
      <vt:lpstr>    Produktsicherheitsbeauftragter (PSB)</vt:lpstr>
      <vt:lpstr>    Conflict Minerals – Abfrage nach Dodd Frank Act Section 1502 </vt:lpstr>
      <vt:lpstr>    Verbotene und deklarationspflichtige Stoffe</vt:lpstr>
      <vt:lpstr>Zusätzliche Anforderung für Händler</vt:lpstr>
      <vt:lpstr>    AS 9120 Schulung</vt:lpstr>
      <vt:lpstr>        Authentizitätsprüfung</vt:lpstr>
      <vt:lpstr>        Verdacht auf nicht genehmigte Produkte</vt:lpstr>
      <vt:lpstr>        Bestandskontrolle</vt:lpstr>
      <vt:lpstr>Laufzeit, Kündigung</vt:lpstr>
      <vt:lpstr>Allgemeines</vt:lpstr>
      <vt:lpstr>Anlagen</vt:lpstr>
    </vt:vector>
  </TitlesOfParts>
  <Manager/>
  <Company/>
  <LinksUpToDate>false</LinksUpToDate>
  <CharactersWithSpaces>35620</CharactersWithSpaces>
  <SharedDoc>false</SharedDoc>
  <HLinks>
    <vt:vector size="300" baseType="variant">
      <vt:variant>
        <vt:i4>1900622</vt:i4>
      </vt:variant>
      <vt:variant>
        <vt:i4>321</vt:i4>
      </vt:variant>
      <vt:variant>
        <vt:i4>0</vt:i4>
      </vt:variant>
      <vt:variant>
        <vt:i4>5</vt:i4>
      </vt:variant>
      <vt:variant>
        <vt:lpwstr>http://www.schaeffler.de/</vt:lpwstr>
      </vt:variant>
      <vt:variant>
        <vt:lpwstr/>
      </vt:variant>
      <vt:variant>
        <vt:i4>5767254</vt:i4>
      </vt:variant>
      <vt:variant>
        <vt:i4>318</vt:i4>
      </vt:variant>
      <vt:variant>
        <vt:i4>0</vt:i4>
      </vt:variant>
      <vt:variant>
        <vt:i4>5</vt:i4>
      </vt:variant>
      <vt:variant>
        <vt:lpwstr>http://www.aiag.org/</vt:lpwstr>
      </vt:variant>
      <vt:variant>
        <vt:lpwstr/>
      </vt:variant>
      <vt:variant>
        <vt:i4>3211367</vt:i4>
      </vt:variant>
      <vt:variant>
        <vt:i4>315</vt:i4>
      </vt:variant>
      <vt:variant>
        <vt:i4>0</vt:i4>
      </vt:variant>
      <vt:variant>
        <vt:i4>5</vt:i4>
      </vt:variant>
      <vt:variant>
        <vt:lpwstr>http://www.suplyon.com/</vt:lpwstr>
      </vt:variant>
      <vt:variant>
        <vt:lpwstr/>
      </vt:variant>
      <vt:variant>
        <vt:i4>1441842</vt:i4>
      </vt:variant>
      <vt:variant>
        <vt:i4>308</vt:i4>
      </vt:variant>
      <vt:variant>
        <vt:i4>0</vt:i4>
      </vt:variant>
      <vt:variant>
        <vt:i4>5</vt:i4>
      </vt:variant>
      <vt:variant>
        <vt:lpwstr/>
      </vt:variant>
      <vt:variant>
        <vt:lpwstr>_Toc507057567</vt:lpwstr>
      </vt:variant>
      <vt:variant>
        <vt:i4>1441842</vt:i4>
      </vt:variant>
      <vt:variant>
        <vt:i4>302</vt:i4>
      </vt:variant>
      <vt:variant>
        <vt:i4>0</vt:i4>
      </vt:variant>
      <vt:variant>
        <vt:i4>5</vt:i4>
      </vt:variant>
      <vt:variant>
        <vt:lpwstr/>
      </vt:variant>
      <vt:variant>
        <vt:lpwstr>_Toc507057566</vt:lpwstr>
      </vt:variant>
      <vt:variant>
        <vt:i4>1441842</vt:i4>
      </vt:variant>
      <vt:variant>
        <vt:i4>296</vt:i4>
      </vt:variant>
      <vt:variant>
        <vt:i4>0</vt:i4>
      </vt:variant>
      <vt:variant>
        <vt:i4>5</vt:i4>
      </vt:variant>
      <vt:variant>
        <vt:lpwstr/>
      </vt:variant>
      <vt:variant>
        <vt:lpwstr>_Toc507057565</vt:lpwstr>
      </vt:variant>
      <vt:variant>
        <vt:i4>1441842</vt:i4>
      </vt:variant>
      <vt:variant>
        <vt:i4>290</vt:i4>
      </vt:variant>
      <vt:variant>
        <vt:i4>0</vt:i4>
      </vt:variant>
      <vt:variant>
        <vt:i4>5</vt:i4>
      </vt:variant>
      <vt:variant>
        <vt:lpwstr/>
      </vt:variant>
      <vt:variant>
        <vt:lpwstr>_Toc507057564</vt:lpwstr>
      </vt:variant>
      <vt:variant>
        <vt:i4>1441842</vt:i4>
      </vt:variant>
      <vt:variant>
        <vt:i4>284</vt:i4>
      </vt:variant>
      <vt:variant>
        <vt:i4>0</vt:i4>
      </vt:variant>
      <vt:variant>
        <vt:i4>5</vt:i4>
      </vt:variant>
      <vt:variant>
        <vt:lpwstr/>
      </vt:variant>
      <vt:variant>
        <vt:lpwstr>_Toc507057563</vt:lpwstr>
      </vt:variant>
      <vt:variant>
        <vt:i4>1441842</vt:i4>
      </vt:variant>
      <vt:variant>
        <vt:i4>278</vt:i4>
      </vt:variant>
      <vt:variant>
        <vt:i4>0</vt:i4>
      </vt:variant>
      <vt:variant>
        <vt:i4>5</vt:i4>
      </vt:variant>
      <vt:variant>
        <vt:lpwstr/>
      </vt:variant>
      <vt:variant>
        <vt:lpwstr>_Toc507057562</vt:lpwstr>
      </vt:variant>
      <vt:variant>
        <vt:i4>1441842</vt:i4>
      </vt:variant>
      <vt:variant>
        <vt:i4>272</vt:i4>
      </vt:variant>
      <vt:variant>
        <vt:i4>0</vt:i4>
      </vt:variant>
      <vt:variant>
        <vt:i4>5</vt:i4>
      </vt:variant>
      <vt:variant>
        <vt:lpwstr/>
      </vt:variant>
      <vt:variant>
        <vt:lpwstr>_Toc507057561</vt:lpwstr>
      </vt:variant>
      <vt:variant>
        <vt:i4>1441842</vt:i4>
      </vt:variant>
      <vt:variant>
        <vt:i4>266</vt:i4>
      </vt:variant>
      <vt:variant>
        <vt:i4>0</vt:i4>
      </vt:variant>
      <vt:variant>
        <vt:i4>5</vt:i4>
      </vt:variant>
      <vt:variant>
        <vt:lpwstr/>
      </vt:variant>
      <vt:variant>
        <vt:lpwstr>_Toc507057560</vt:lpwstr>
      </vt:variant>
      <vt:variant>
        <vt:i4>1376306</vt:i4>
      </vt:variant>
      <vt:variant>
        <vt:i4>260</vt:i4>
      </vt:variant>
      <vt:variant>
        <vt:i4>0</vt:i4>
      </vt:variant>
      <vt:variant>
        <vt:i4>5</vt:i4>
      </vt:variant>
      <vt:variant>
        <vt:lpwstr/>
      </vt:variant>
      <vt:variant>
        <vt:lpwstr>_Toc507057559</vt:lpwstr>
      </vt:variant>
      <vt:variant>
        <vt:i4>1376306</vt:i4>
      </vt:variant>
      <vt:variant>
        <vt:i4>254</vt:i4>
      </vt:variant>
      <vt:variant>
        <vt:i4>0</vt:i4>
      </vt:variant>
      <vt:variant>
        <vt:i4>5</vt:i4>
      </vt:variant>
      <vt:variant>
        <vt:lpwstr/>
      </vt:variant>
      <vt:variant>
        <vt:lpwstr>_Toc507057558</vt:lpwstr>
      </vt:variant>
      <vt:variant>
        <vt:i4>1376306</vt:i4>
      </vt:variant>
      <vt:variant>
        <vt:i4>248</vt:i4>
      </vt:variant>
      <vt:variant>
        <vt:i4>0</vt:i4>
      </vt:variant>
      <vt:variant>
        <vt:i4>5</vt:i4>
      </vt:variant>
      <vt:variant>
        <vt:lpwstr/>
      </vt:variant>
      <vt:variant>
        <vt:lpwstr>_Toc507057557</vt:lpwstr>
      </vt:variant>
      <vt:variant>
        <vt:i4>1376306</vt:i4>
      </vt:variant>
      <vt:variant>
        <vt:i4>242</vt:i4>
      </vt:variant>
      <vt:variant>
        <vt:i4>0</vt:i4>
      </vt:variant>
      <vt:variant>
        <vt:i4>5</vt:i4>
      </vt:variant>
      <vt:variant>
        <vt:lpwstr/>
      </vt:variant>
      <vt:variant>
        <vt:lpwstr>_Toc507057556</vt:lpwstr>
      </vt:variant>
      <vt:variant>
        <vt:i4>1376306</vt:i4>
      </vt:variant>
      <vt:variant>
        <vt:i4>236</vt:i4>
      </vt:variant>
      <vt:variant>
        <vt:i4>0</vt:i4>
      </vt:variant>
      <vt:variant>
        <vt:i4>5</vt:i4>
      </vt:variant>
      <vt:variant>
        <vt:lpwstr/>
      </vt:variant>
      <vt:variant>
        <vt:lpwstr>_Toc507057555</vt:lpwstr>
      </vt:variant>
      <vt:variant>
        <vt:i4>1376306</vt:i4>
      </vt:variant>
      <vt:variant>
        <vt:i4>230</vt:i4>
      </vt:variant>
      <vt:variant>
        <vt:i4>0</vt:i4>
      </vt:variant>
      <vt:variant>
        <vt:i4>5</vt:i4>
      </vt:variant>
      <vt:variant>
        <vt:lpwstr/>
      </vt:variant>
      <vt:variant>
        <vt:lpwstr>_Toc507057554</vt:lpwstr>
      </vt:variant>
      <vt:variant>
        <vt:i4>1376306</vt:i4>
      </vt:variant>
      <vt:variant>
        <vt:i4>224</vt:i4>
      </vt:variant>
      <vt:variant>
        <vt:i4>0</vt:i4>
      </vt:variant>
      <vt:variant>
        <vt:i4>5</vt:i4>
      </vt:variant>
      <vt:variant>
        <vt:lpwstr/>
      </vt:variant>
      <vt:variant>
        <vt:lpwstr>_Toc507057553</vt:lpwstr>
      </vt:variant>
      <vt:variant>
        <vt:i4>1376306</vt:i4>
      </vt:variant>
      <vt:variant>
        <vt:i4>218</vt:i4>
      </vt:variant>
      <vt:variant>
        <vt:i4>0</vt:i4>
      </vt:variant>
      <vt:variant>
        <vt:i4>5</vt:i4>
      </vt:variant>
      <vt:variant>
        <vt:lpwstr/>
      </vt:variant>
      <vt:variant>
        <vt:lpwstr>_Toc507057552</vt:lpwstr>
      </vt:variant>
      <vt:variant>
        <vt:i4>1376306</vt:i4>
      </vt:variant>
      <vt:variant>
        <vt:i4>212</vt:i4>
      </vt:variant>
      <vt:variant>
        <vt:i4>0</vt:i4>
      </vt:variant>
      <vt:variant>
        <vt:i4>5</vt:i4>
      </vt:variant>
      <vt:variant>
        <vt:lpwstr/>
      </vt:variant>
      <vt:variant>
        <vt:lpwstr>_Toc507057551</vt:lpwstr>
      </vt:variant>
      <vt:variant>
        <vt:i4>1376306</vt:i4>
      </vt:variant>
      <vt:variant>
        <vt:i4>206</vt:i4>
      </vt:variant>
      <vt:variant>
        <vt:i4>0</vt:i4>
      </vt:variant>
      <vt:variant>
        <vt:i4>5</vt:i4>
      </vt:variant>
      <vt:variant>
        <vt:lpwstr/>
      </vt:variant>
      <vt:variant>
        <vt:lpwstr>_Toc507057550</vt:lpwstr>
      </vt:variant>
      <vt:variant>
        <vt:i4>1310770</vt:i4>
      </vt:variant>
      <vt:variant>
        <vt:i4>200</vt:i4>
      </vt:variant>
      <vt:variant>
        <vt:i4>0</vt:i4>
      </vt:variant>
      <vt:variant>
        <vt:i4>5</vt:i4>
      </vt:variant>
      <vt:variant>
        <vt:lpwstr/>
      </vt:variant>
      <vt:variant>
        <vt:lpwstr>_Toc507057549</vt:lpwstr>
      </vt:variant>
      <vt:variant>
        <vt:i4>1310770</vt:i4>
      </vt:variant>
      <vt:variant>
        <vt:i4>194</vt:i4>
      </vt:variant>
      <vt:variant>
        <vt:i4>0</vt:i4>
      </vt:variant>
      <vt:variant>
        <vt:i4>5</vt:i4>
      </vt:variant>
      <vt:variant>
        <vt:lpwstr/>
      </vt:variant>
      <vt:variant>
        <vt:lpwstr>_Toc507057548</vt:lpwstr>
      </vt:variant>
      <vt:variant>
        <vt:i4>1310770</vt:i4>
      </vt:variant>
      <vt:variant>
        <vt:i4>188</vt:i4>
      </vt:variant>
      <vt:variant>
        <vt:i4>0</vt:i4>
      </vt:variant>
      <vt:variant>
        <vt:i4>5</vt:i4>
      </vt:variant>
      <vt:variant>
        <vt:lpwstr/>
      </vt:variant>
      <vt:variant>
        <vt:lpwstr>_Toc507057547</vt:lpwstr>
      </vt:variant>
      <vt:variant>
        <vt:i4>1310770</vt:i4>
      </vt:variant>
      <vt:variant>
        <vt:i4>182</vt:i4>
      </vt:variant>
      <vt:variant>
        <vt:i4>0</vt:i4>
      </vt:variant>
      <vt:variant>
        <vt:i4>5</vt:i4>
      </vt:variant>
      <vt:variant>
        <vt:lpwstr/>
      </vt:variant>
      <vt:variant>
        <vt:lpwstr>_Toc507057546</vt:lpwstr>
      </vt:variant>
      <vt:variant>
        <vt:i4>1310770</vt:i4>
      </vt:variant>
      <vt:variant>
        <vt:i4>176</vt:i4>
      </vt:variant>
      <vt:variant>
        <vt:i4>0</vt:i4>
      </vt:variant>
      <vt:variant>
        <vt:i4>5</vt:i4>
      </vt:variant>
      <vt:variant>
        <vt:lpwstr/>
      </vt:variant>
      <vt:variant>
        <vt:lpwstr>_Toc507057545</vt:lpwstr>
      </vt:variant>
      <vt:variant>
        <vt:i4>1310770</vt:i4>
      </vt:variant>
      <vt:variant>
        <vt:i4>170</vt:i4>
      </vt:variant>
      <vt:variant>
        <vt:i4>0</vt:i4>
      </vt:variant>
      <vt:variant>
        <vt:i4>5</vt:i4>
      </vt:variant>
      <vt:variant>
        <vt:lpwstr/>
      </vt:variant>
      <vt:variant>
        <vt:lpwstr>_Toc507057544</vt:lpwstr>
      </vt:variant>
      <vt:variant>
        <vt:i4>1310770</vt:i4>
      </vt:variant>
      <vt:variant>
        <vt:i4>164</vt:i4>
      </vt:variant>
      <vt:variant>
        <vt:i4>0</vt:i4>
      </vt:variant>
      <vt:variant>
        <vt:i4>5</vt:i4>
      </vt:variant>
      <vt:variant>
        <vt:lpwstr/>
      </vt:variant>
      <vt:variant>
        <vt:lpwstr>_Toc507057543</vt:lpwstr>
      </vt:variant>
      <vt:variant>
        <vt:i4>1310770</vt:i4>
      </vt:variant>
      <vt:variant>
        <vt:i4>158</vt:i4>
      </vt:variant>
      <vt:variant>
        <vt:i4>0</vt:i4>
      </vt:variant>
      <vt:variant>
        <vt:i4>5</vt:i4>
      </vt:variant>
      <vt:variant>
        <vt:lpwstr/>
      </vt:variant>
      <vt:variant>
        <vt:lpwstr>_Toc507057542</vt:lpwstr>
      </vt:variant>
      <vt:variant>
        <vt:i4>1310770</vt:i4>
      </vt:variant>
      <vt:variant>
        <vt:i4>152</vt:i4>
      </vt:variant>
      <vt:variant>
        <vt:i4>0</vt:i4>
      </vt:variant>
      <vt:variant>
        <vt:i4>5</vt:i4>
      </vt:variant>
      <vt:variant>
        <vt:lpwstr/>
      </vt:variant>
      <vt:variant>
        <vt:lpwstr>_Toc507057541</vt:lpwstr>
      </vt:variant>
      <vt:variant>
        <vt:i4>1310770</vt:i4>
      </vt:variant>
      <vt:variant>
        <vt:i4>146</vt:i4>
      </vt:variant>
      <vt:variant>
        <vt:i4>0</vt:i4>
      </vt:variant>
      <vt:variant>
        <vt:i4>5</vt:i4>
      </vt:variant>
      <vt:variant>
        <vt:lpwstr/>
      </vt:variant>
      <vt:variant>
        <vt:lpwstr>_Toc507057540</vt:lpwstr>
      </vt:variant>
      <vt:variant>
        <vt:i4>1245234</vt:i4>
      </vt:variant>
      <vt:variant>
        <vt:i4>140</vt:i4>
      </vt:variant>
      <vt:variant>
        <vt:i4>0</vt:i4>
      </vt:variant>
      <vt:variant>
        <vt:i4>5</vt:i4>
      </vt:variant>
      <vt:variant>
        <vt:lpwstr/>
      </vt:variant>
      <vt:variant>
        <vt:lpwstr>_Toc507057539</vt:lpwstr>
      </vt:variant>
      <vt:variant>
        <vt:i4>1245234</vt:i4>
      </vt:variant>
      <vt:variant>
        <vt:i4>134</vt:i4>
      </vt:variant>
      <vt:variant>
        <vt:i4>0</vt:i4>
      </vt:variant>
      <vt:variant>
        <vt:i4>5</vt:i4>
      </vt:variant>
      <vt:variant>
        <vt:lpwstr/>
      </vt:variant>
      <vt:variant>
        <vt:lpwstr>_Toc507057538</vt:lpwstr>
      </vt:variant>
      <vt:variant>
        <vt:i4>1245234</vt:i4>
      </vt:variant>
      <vt:variant>
        <vt:i4>128</vt:i4>
      </vt:variant>
      <vt:variant>
        <vt:i4>0</vt:i4>
      </vt:variant>
      <vt:variant>
        <vt:i4>5</vt:i4>
      </vt:variant>
      <vt:variant>
        <vt:lpwstr/>
      </vt:variant>
      <vt:variant>
        <vt:lpwstr>_Toc507057537</vt:lpwstr>
      </vt:variant>
      <vt:variant>
        <vt:i4>1245234</vt:i4>
      </vt:variant>
      <vt:variant>
        <vt:i4>122</vt:i4>
      </vt:variant>
      <vt:variant>
        <vt:i4>0</vt:i4>
      </vt:variant>
      <vt:variant>
        <vt:i4>5</vt:i4>
      </vt:variant>
      <vt:variant>
        <vt:lpwstr/>
      </vt:variant>
      <vt:variant>
        <vt:lpwstr>_Toc507057536</vt:lpwstr>
      </vt:variant>
      <vt:variant>
        <vt:i4>1245234</vt:i4>
      </vt:variant>
      <vt:variant>
        <vt:i4>116</vt:i4>
      </vt:variant>
      <vt:variant>
        <vt:i4>0</vt:i4>
      </vt:variant>
      <vt:variant>
        <vt:i4>5</vt:i4>
      </vt:variant>
      <vt:variant>
        <vt:lpwstr/>
      </vt:variant>
      <vt:variant>
        <vt:lpwstr>_Toc507057535</vt:lpwstr>
      </vt:variant>
      <vt:variant>
        <vt:i4>1245234</vt:i4>
      </vt:variant>
      <vt:variant>
        <vt:i4>110</vt:i4>
      </vt:variant>
      <vt:variant>
        <vt:i4>0</vt:i4>
      </vt:variant>
      <vt:variant>
        <vt:i4>5</vt:i4>
      </vt:variant>
      <vt:variant>
        <vt:lpwstr/>
      </vt:variant>
      <vt:variant>
        <vt:lpwstr>_Toc507057534</vt:lpwstr>
      </vt:variant>
      <vt:variant>
        <vt:i4>1245234</vt:i4>
      </vt:variant>
      <vt:variant>
        <vt:i4>104</vt:i4>
      </vt:variant>
      <vt:variant>
        <vt:i4>0</vt:i4>
      </vt:variant>
      <vt:variant>
        <vt:i4>5</vt:i4>
      </vt:variant>
      <vt:variant>
        <vt:lpwstr/>
      </vt:variant>
      <vt:variant>
        <vt:lpwstr>_Toc507057533</vt:lpwstr>
      </vt:variant>
      <vt:variant>
        <vt:i4>1245234</vt:i4>
      </vt:variant>
      <vt:variant>
        <vt:i4>98</vt:i4>
      </vt:variant>
      <vt:variant>
        <vt:i4>0</vt:i4>
      </vt:variant>
      <vt:variant>
        <vt:i4>5</vt:i4>
      </vt:variant>
      <vt:variant>
        <vt:lpwstr/>
      </vt:variant>
      <vt:variant>
        <vt:lpwstr>_Toc507057532</vt:lpwstr>
      </vt:variant>
      <vt:variant>
        <vt:i4>1245234</vt:i4>
      </vt:variant>
      <vt:variant>
        <vt:i4>92</vt:i4>
      </vt:variant>
      <vt:variant>
        <vt:i4>0</vt:i4>
      </vt:variant>
      <vt:variant>
        <vt:i4>5</vt:i4>
      </vt:variant>
      <vt:variant>
        <vt:lpwstr/>
      </vt:variant>
      <vt:variant>
        <vt:lpwstr>_Toc507057531</vt:lpwstr>
      </vt:variant>
      <vt:variant>
        <vt:i4>1245234</vt:i4>
      </vt:variant>
      <vt:variant>
        <vt:i4>86</vt:i4>
      </vt:variant>
      <vt:variant>
        <vt:i4>0</vt:i4>
      </vt:variant>
      <vt:variant>
        <vt:i4>5</vt:i4>
      </vt:variant>
      <vt:variant>
        <vt:lpwstr/>
      </vt:variant>
      <vt:variant>
        <vt:lpwstr>_Toc507057530</vt:lpwstr>
      </vt:variant>
      <vt:variant>
        <vt:i4>1179698</vt:i4>
      </vt:variant>
      <vt:variant>
        <vt:i4>80</vt:i4>
      </vt:variant>
      <vt:variant>
        <vt:i4>0</vt:i4>
      </vt:variant>
      <vt:variant>
        <vt:i4>5</vt:i4>
      </vt:variant>
      <vt:variant>
        <vt:lpwstr/>
      </vt:variant>
      <vt:variant>
        <vt:lpwstr>_Toc507057529</vt:lpwstr>
      </vt:variant>
      <vt:variant>
        <vt:i4>1179698</vt:i4>
      </vt:variant>
      <vt:variant>
        <vt:i4>74</vt:i4>
      </vt:variant>
      <vt:variant>
        <vt:i4>0</vt:i4>
      </vt:variant>
      <vt:variant>
        <vt:i4>5</vt:i4>
      </vt:variant>
      <vt:variant>
        <vt:lpwstr/>
      </vt:variant>
      <vt:variant>
        <vt:lpwstr>_Toc507057528</vt:lpwstr>
      </vt:variant>
      <vt:variant>
        <vt:i4>1179698</vt:i4>
      </vt:variant>
      <vt:variant>
        <vt:i4>68</vt:i4>
      </vt:variant>
      <vt:variant>
        <vt:i4>0</vt:i4>
      </vt:variant>
      <vt:variant>
        <vt:i4>5</vt:i4>
      </vt:variant>
      <vt:variant>
        <vt:lpwstr/>
      </vt:variant>
      <vt:variant>
        <vt:lpwstr>_Toc507057527</vt:lpwstr>
      </vt:variant>
      <vt:variant>
        <vt:i4>1179698</vt:i4>
      </vt:variant>
      <vt:variant>
        <vt:i4>62</vt:i4>
      </vt:variant>
      <vt:variant>
        <vt:i4>0</vt:i4>
      </vt:variant>
      <vt:variant>
        <vt:i4>5</vt:i4>
      </vt:variant>
      <vt:variant>
        <vt:lpwstr/>
      </vt:variant>
      <vt:variant>
        <vt:lpwstr>_Toc507057526</vt:lpwstr>
      </vt:variant>
      <vt:variant>
        <vt:i4>1179698</vt:i4>
      </vt:variant>
      <vt:variant>
        <vt:i4>56</vt:i4>
      </vt:variant>
      <vt:variant>
        <vt:i4>0</vt:i4>
      </vt:variant>
      <vt:variant>
        <vt:i4>5</vt:i4>
      </vt:variant>
      <vt:variant>
        <vt:lpwstr/>
      </vt:variant>
      <vt:variant>
        <vt:lpwstr>_Toc507057525</vt:lpwstr>
      </vt:variant>
      <vt:variant>
        <vt:i4>1179698</vt:i4>
      </vt:variant>
      <vt:variant>
        <vt:i4>50</vt:i4>
      </vt:variant>
      <vt:variant>
        <vt:i4>0</vt:i4>
      </vt:variant>
      <vt:variant>
        <vt:i4>5</vt:i4>
      </vt:variant>
      <vt:variant>
        <vt:lpwstr/>
      </vt:variant>
      <vt:variant>
        <vt:lpwstr>_Toc507057524</vt:lpwstr>
      </vt:variant>
      <vt:variant>
        <vt:i4>1179698</vt:i4>
      </vt:variant>
      <vt:variant>
        <vt:i4>44</vt:i4>
      </vt:variant>
      <vt:variant>
        <vt:i4>0</vt:i4>
      </vt:variant>
      <vt:variant>
        <vt:i4>5</vt:i4>
      </vt:variant>
      <vt:variant>
        <vt:lpwstr/>
      </vt:variant>
      <vt:variant>
        <vt:lpwstr>_Toc507057523</vt:lpwstr>
      </vt:variant>
      <vt:variant>
        <vt:i4>1179698</vt:i4>
      </vt:variant>
      <vt:variant>
        <vt:i4>38</vt:i4>
      </vt:variant>
      <vt:variant>
        <vt:i4>0</vt:i4>
      </vt:variant>
      <vt:variant>
        <vt:i4>5</vt:i4>
      </vt:variant>
      <vt:variant>
        <vt:lpwstr/>
      </vt:variant>
      <vt:variant>
        <vt:lpwstr>_Toc507057522</vt:lpwstr>
      </vt:variant>
      <vt:variant>
        <vt:i4>1179698</vt:i4>
      </vt:variant>
      <vt:variant>
        <vt:i4>32</vt:i4>
      </vt:variant>
      <vt:variant>
        <vt:i4>0</vt:i4>
      </vt:variant>
      <vt:variant>
        <vt:i4>5</vt:i4>
      </vt:variant>
      <vt:variant>
        <vt:lpwstr/>
      </vt:variant>
      <vt:variant>
        <vt:lpwstr>_Toc507057521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Agreeement with Production Material Suppliers</dc:title>
  <dc:subject>S 296001</dc:subject>
  <dc:creator/>
  <cp:keywords/>
  <dc:description/>
  <cp:lastModifiedBy/>
  <cp:revision>1</cp:revision>
  <cp:lastPrinted>2010-01-19T13:52:00Z</cp:lastPrinted>
  <dcterms:created xsi:type="dcterms:W3CDTF">2018-12-04T12:38:00Z</dcterms:created>
  <dcterms:modified xsi:type="dcterms:W3CDTF">2018-12-14T15:33:00Z</dcterms:modified>
</cp:coreProperties>
</file>